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08" w:type="dxa"/>
        <w:tblCellSpacing w:w="1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781"/>
        <w:gridCol w:w="7152"/>
        <w:gridCol w:w="7375"/>
      </w:tblGrid>
      <w:tr w:rsidR="003C1D7A" w:rsidRPr="00A30154" w14:paraId="0AECB141" w14:textId="77777777" w:rsidTr="003C1D7A">
        <w:trPr>
          <w:tblHeader/>
          <w:tblCellSpacing w:w="11" w:type="dxa"/>
        </w:trPr>
        <w:tc>
          <w:tcPr>
            <w:tcW w:w="748" w:type="dxa"/>
            <w:shd w:val="clear" w:color="auto" w:fill="A6A6A6" w:themeFill="background1" w:themeFillShade="A6"/>
            <w:vAlign w:val="center"/>
          </w:tcPr>
          <w:p w14:paraId="5E311ED5" w14:textId="77777777" w:rsidR="003C1D7A" w:rsidRPr="00A30154" w:rsidRDefault="003C1D7A" w:rsidP="001E7687">
            <w:pPr>
              <w:jc w:val="center"/>
              <w:rPr>
                <w:rFonts w:ascii="Verdana" w:hAnsi="Verdana"/>
                <w:b/>
                <w:sz w:val="16"/>
                <w:szCs w:val="16"/>
              </w:rPr>
            </w:pPr>
            <w:proofErr w:type="gramStart"/>
            <w:r>
              <w:rPr>
                <w:rFonts w:ascii="Verdana" w:hAnsi="Verdana"/>
                <w:b/>
                <w:sz w:val="16"/>
                <w:szCs w:val="16"/>
              </w:rPr>
              <w:t xml:space="preserve">RSH </w:t>
            </w:r>
            <w:r w:rsidRPr="00A30154">
              <w:rPr>
                <w:rFonts w:ascii="Verdana" w:hAnsi="Verdana"/>
                <w:b/>
                <w:sz w:val="16"/>
                <w:szCs w:val="16"/>
              </w:rPr>
              <w:t xml:space="preserve"> ref</w:t>
            </w:r>
            <w:proofErr w:type="gramEnd"/>
          </w:p>
        </w:tc>
        <w:tc>
          <w:tcPr>
            <w:tcW w:w="7130" w:type="dxa"/>
            <w:shd w:val="clear" w:color="auto" w:fill="A6A6A6" w:themeFill="background1" w:themeFillShade="A6"/>
            <w:vAlign w:val="center"/>
          </w:tcPr>
          <w:p w14:paraId="1D78B09D" w14:textId="77777777" w:rsidR="003C1D7A" w:rsidRPr="00A30154" w:rsidRDefault="003C1D7A" w:rsidP="001E7687">
            <w:pPr>
              <w:jc w:val="center"/>
              <w:rPr>
                <w:rFonts w:ascii="Verdana" w:hAnsi="Verdana"/>
                <w:b/>
                <w:sz w:val="16"/>
                <w:szCs w:val="16"/>
              </w:rPr>
            </w:pPr>
          </w:p>
          <w:p w14:paraId="6A911BF8" w14:textId="242E374F" w:rsidR="003C1D7A" w:rsidRPr="00A30154" w:rsidRDefault="003C1D7A" w:rsidP="001E7687">
            <w:pPr>
              <w:jc w:val="center"/>
              <w:rPr>
                <w:rFonts w:ascii="Verdana" w:hAnsi="Verdana"/>
                <w:b/>
                <w:sz w:val="12"/>
                <w:szCs w:val="16"/>
              </w:rPr>
            </w:pPr>
            <w:r>
              <w:rPr>
                <w:rFonts w:ascii="Verdana" w:hAnsi="Verdana"/>
                <w:b/>
                <w:sz w:val="16"/>
                <w:szCs w:val="16"/>
              </w:rPr>
              <w:t>RSH</w:t>
            </w:r>
            <w:r w:rsidRPr="00A30154">
              <w:rPr>
                <w:rFonts w:ascii="Verdana" w:hAnsi="Verdana"/>
                <w:b/>
                <w:sz w:val="16"/>
                <w:szCs w:val="16"/>
              </w:rPr>
              <w:t xml:space="preserve"> requirements </w:t>
            </w:r>
          </w:p>
          <w:p w14:paraId="5BEAE24B" w14:textId="77777777" w:rsidR="003C1D7A" w:rsidRPr="00760075" w:rsidRDefault="003C1D7A" w:rsidP="001E7687">
            <w:pPr>
              <w:jc w:val="center"/>
              <w:rPr>
                <w:rFonts w:ascii="Verdana" w:hAnsi="Verdana"/>
                <w:b/>
                <w:sz w:val="16"/>
                <w:szCs w:val="16"/>
              </w:rPr>
            </w:pPr>
            <w:r w:rsidRPr="00760075">
              <w:rPr>
                <w:rFonts w:ascii="Verdana" w:hAnsi="Verdana"/>
                <w:b/>
                <w:sz w:val="16"/>
                <w:szCs w:val="16"/>
              </w:rPr>
              <w:t>Code of Practice – examples/clarification</w:t>
            </w:r>
          </w:p>
          <w:p w14:paraId="5CF831FC" w14:textId="77777777" w:rsidR="003C1D7A" w:rsidRPr="00A30154" w:rsidRDefault="003C1D7A" w:rsidP="001E7687">
            <w:pPr>
              <w:jc w:val="center"/>
              <w:rPr>
                <w:rFonts w:ascii="Verdana" w:hAnsi="Verdana"/>
                <w:b/>
                <w:sz w:val="12"/>
                <w:szCs w:val="16"/>
              </w:rPr>
            </w:pPr>
          </w:p>
        </w:tc>
        <w:tc>
          <w:tcPr>
            <w:tcW w:w="7342" w:type="dxa"/>
            <w:shd w:val="clear" w:color="auto" w:fill="5F497A" w:themeFill="accent4" w:themeFillShade="BF"/>
            <w:vAlign w:val="center"/>
          </w:tcPr>
          <w:p w14:paraId="296C5C7E" w14:textId="77777777" w:rsidR="003C1D7A" w:rsidRPr="0021211E" w:rsidRDefault="003C1D7A" w:rsidP="001E7687">
            <w:pPr>
              <w:jc w:val="center"/>
              <w:rPr>
                <w:rFonts w:ascii="Verdana" w:hAnsi="Verdana"/>
                <w:b/>
                <w:color w:val="FFFFFF" w:themeColor="background1"/>
                <w:sz w:val="16"/>
                <w:szCs w:val="16"/>
              </w:rPr>
            </w:pPr>
          </w:p>
          <w:p w14:paraId="3D250F30" w14:textId="5E128790" w:rsidR="003C1D7A" w:rsidRPr="0021211E" w:rsidRDefault="003C1D7A" w:rsidP="001E7687">
            <w:pPr>
              <w:jc w:val="center"/>
              <w:rPr>
                <w:rFonts w:ascii="Verdana" w:hAnsi="Verdana"/>
                <w:b/>
                <w:color w:val="FFFFFF" w:themeColor="background1"/>
                <w:sz w:val="16"/>
                <w:szCs w:val="16"/>
              </w:rPr>
            </w:pPr>
            <w:r w:rsidRPr="0021211E">
              <w:rPr>
                <w:rFonts w:ascii="Verdana" w:hAnsi="Verdana"/>
                <w:b/>
                <w:color w:val="FFFFFF" w:themeColor="background1"/>
                <w:sz w:val="16"/>
                <w:szCs w:val="16"/>
              </w:rPr>
              <w:t xml:space="preserve">How </w:t>
            </w:r>
            <w:r>
              <w:rPr>
                <w:rFonts w:ascii="Verdana" w:hAnsi="Verdana"/>
                <w:b/>
                <w:color w:val="FFFFFF" w:themeColor="background1"/>
                <w:sz w:val="16"/>
                <w:szCs w:val="16"/>
              </w:rPr>
              <w:t>we</w:t>
            </w:r>
            <w:r w:rsidRPr="0021211E">
              <w:rPr>
                <w:rFonts w:ascii="Verdana" w:hAnsi="Verdana"/>
                <w:b/>
                <w:color w:val="FFFFFF" w:themeColor="background1"/>
                <w:sz w:val="16"/>
                <w:szCs w:val="16"/>
              </w:rPr>
              <w:t xml:space="preserve"> comply and Board assurance </w:t>
            </w:r>
          </w:p>
          <w:p w14:paraId="6FFE5416" w14:textId="687FD814" w:rsidR="003C1D7A" w:rsidRPr="0021211E" w:rsidRDefault="003C1D7A" w:rsidP="001E7687">
            <w:pPr>
              <w:jc w:val="center"/>
              <w:rPr>
                <w:rFonts w:ascii="Verdana" w:hAnsi="Verdana"/>
                <w:b/>
                <w:color w:val="FFFFFF" w:themeColor="background1"/>
                <w:sz w:val="16"/>
                <w:szCs w:val="16"/>
              </w:rPr>
            </w:pPr>
          </w:p>
        </w:tc>
      </w:tr>
      <w:tr w:rsidR="005032E1" w:rsidRPr="00A30154" w14:paraId="57C129AC" w14:textId="77777777" w:rsidTr="005032E1">
        <w:trPr>
          <w:tblCellSpacing w:w="11" w:type="dxa"/>
        </w:trPr>
        <w:tc>
          <w:tcPr>
            <w:tcW w:w="748" w:type="dxa"/>
            <w:shd w:val="clear" w:color="auto" w:fill="000000" w:themeFill="text1"/>
          </w:tcPr>
          <w:p w14:paraId="3558B566" w14:textId="77777777" w:rsidR="005032E1" w:rsidRPr="00A30154" w:rsidRDefault="005032E1" w:rsidP="001E7687">
            <w:pPr>
              <w:spacing w:line="276" w:lineRule="auto"/>
              <w:rPr>
                <w:rFonts w:ascii="Verdana" w:hAnsi="Verdana"/>
                <w:b/>
                <w:sz w:val="16"/>
                <w:szCs w:val="16"/>
              </w:rPr>
            </w:pPr>
          </w:p>
          <w:p w14:paraId="2733D908" w14:textId="77777777" w:rsidR="005032E1" w:rsidRPr="00A30154" w:rsidRDefault="005032E1" w:rsidP="001E7687">
            <w:pPr>
              <w:spacing w:line="276" w:lineRule="auto"/>
              <w:rPr>
                <w:rFonts w:ascii="Verdana" w:hAnsi="Verdana"/>
                <w:b/>
                <w:sz w:val="16"/>
                <w:szCs w:val="16"/>
              </w:rPr>
            </w:pPr>
            <w:r w:rsidRPr="00A30154">
              <w:rPr>
                <w:rFonts w:ascii="Verdana" w:hAnsi="Verdana"/>
                <w:b/>
                <w:sz w:val="16"/>
                <w:szCs w:val="16"/>
              </w:rPr>
              <w:t>1.</w:t>
            </w:r>
          </w:p>
        </w:tc>
        <w:tc>
          <w:tcPr>
            <w:tcW w:w="14494" w:type="dxa"/>
            <w:gridSpan w:val="2"/>
            <w:shd w:val="clear" w:color="auto" w:fill="000000" w:themeFill="text1"/>
          </w:tcPr>
          <w:p w14:paraId="0B19CC9E" w14:textId="77777777" w:rsidR="005032E1" w:rsidRPr="00A30154" w:rsidRDefault="005032E1" w:rsidP="001E7687">
            <w:pPr>
              <w:spacing w:line="276" w:lineRule="auto"/>
              <w:rPr>
                <w:rFonts w:ascii="Verdana" w:hAnsi="Verdana"/>
                <w:b/>
                <w:sz w:val="16"/>
                <w:szCs w:val="16"/>
              </w:rPr>
            </w:pPr>
          </w:p>
          <w:p w14:paraId="77CB9286" w14:textId="77777777" w:rsidR="005032E1" w:rsidRPr="00A30154" w:rsidRDefault="005032E1" w:rsidP="001E7687">
            <w:pPr>
              <w:spacing w:line="276" w:lineRule="auto"/>
              <w:rPr>
                <w:rFonts w:ascii="Verdana" w:hAnsi="Verdana"/>
                <w:b/>
                <w:sz w:val="16"/>
                <w:szCs w:val="16"/>
              </w:rPr>
            </w:pPr>
            <w:r w:rsidRPr="00A30154">
              <w:rPr>
                <w:rFonts w:ascii="Verdana" w:hAnsi="Verdana"/>
                <w:b/>
                <w:sz w:val="16"/>
                <w:szCs w:val="16"/>
              </w:rPr>
              <w:t xml:space="preserve">Required Outcomes  </w:t>
            </w:r>
          </w:p>
        </w:tc>
      </w:tr>
      <w:tr w:rsidR="005032E1" w:rsidRPr="00A30154" w14:paraId="4E430577" w14:textId="77777777" w:rsidTr="005032E1">
        <w:trPr>
          <w:trHeight w:val="533"/>
          <w:tblCellSpacing w:w="11" w:type="dxa"/>
        </w:trPr>
        <w:tc>
          <w:tcPr>
            <w:tcW w:w="748" w:type="dxa"/>
            <w:shd w:val="clear" w:color="auto" w:fill="F2F2F2" w:themeFill="background1" w:themeFillShade="F2"/>
          </w:tcPr>
          <w:p w14:paraId="2868833A" w14:textId="77777777" w:rsidR="005032E1" w:rsidRPr="00A30154" w:rsidRDefault="005032E1" w:rsidP="001E7687">
            <w:pPr>
              <w:spacing w:line="276" w:lineRule="auto"/>
              <w:jc w:val="center"/>
              <w:rPr>
                <w:rFonts w:ascii="Verdana" w:hAnsi="Verdana" w:cs="Arial"/>
                <w:b/>
                <w:sz w:val="16"/>
                <w:szCs w:val="16"/>
              </w:rPr>
            </w:pPr>
          </w:p>
          <w:p w14:paraId="4C7F1672" w14:textId="77777777" w:rsidR="005032E1" w:rsidRPr="00A30154" w:rsidRDefault="005032E1" w:rsidP="001E7687">
            <w:pPr>
              <w:spacing w:line="276" w:lineRule="auto"/>
              <w:jc w:val="center"/>
              <w:rPr>
                <w:rFonts w:ascii="Verdana" w:hAnsi="Verdana" w:cs="Arial"/>
                <w:b/>
                <w:sz w:val="16"/>
                <w:szCs w:val="16"/>
              </w:rPr>
            </w:pPr>
            <w:r w:rsidRPr="00A30154">
              <w:rPr>
                <w:rFonts w:ascii="Verdana" w:hAnsi="Verdana" w:cs="Arial"/>
                <w:b/>
                <w:sz w:val="16"/>
                <w:szCs w:val="16"/>
              </w:rPr>
              <w:t>1.1a</w:t>
            </w:r>
          </w:p>
        </w:tc>
        <w:tc>
          <w:tcPr>
            <w:tcW w:w="14494" w:type="dxa"/>
            <w:gridSpan w:val="2"/>
            <w:shd w:val="clear" w:color="auto" w:fill="F2F2F2" w:themeFill="background1" w:themeFillShade="F2"/>
          </w:tcPr>
          <w:p w14:paraId="428CED1A" w14:textId="77777777" w:rsidR="005032E1" w:rsidRPr="00A30154" w:rsidRDefault="005032E1" w:rsidP="001E7687">
            <w:pPr>
              <w:spacing w:line="276" w:lineRule="auto"/>
              <w:contextualSpacing/>
              <w:rPr>
                <w:rFonts w:ascii="Verdana" w:hAnsi="Verdana" w:cs="Arial"/>
                <w:b/>
                <w:color w:val="000000"/>
                <w:sz w:val="16"/>
                <w:szCs w:val="16"/>
              </w:rPr>
            </w:pPr>
          </w:p>
          <w:p w14:paraId="3370E88B" w14:textId="77777777" w:rsidR="005032E1" w:rsidRPr="00A30154" w:rsidRDefault="005032E1" w:rsidP="001E7687">
            <w:pPr>
              <w:spacing w:line="276" w:lineRule="auto"/>
              <w:contextualSpacing/>
              <w:rPr>
                <w:rFonts w:ascii="Verdana" w:hAnsi="Verdana" w:cs="Arial"/>
                <w:b/>
                <w:color w:val="000000"/>
                <w:sz w:val="16"/>
                <w:szCs w:val="16"/>
              </w:rPr>
            </w:pPr>
            <w:r w:rsidRPr="00A30154">
              <w:rPr>
                <w:rFonts w:ascii="Verdana" w:hAnsi="Verdana" w:cs="Arial"/>
                <w:b/>
                <w:color w:val="000000"/>
                <w:sz w:val="16"/>
                <w:szCs w:val="16"/>
              </w:rPr>
              <w:t>Registered providers must clearly articulate their strategic objectives</w:t>
            </w:r>
          </w:p>
          <w:p w14:paraId="0D95FE22" w14:textId="77777777" w:rsidR="005032E1" w:rsidRPr="00A30154" w:rsidRDefault="005032E1" w:rsidP="001E7687">
            <w:pPr>
              <w:spacing w:line="276" w:lineRule="auto"/>
              <w:rPr>
                <w:rFonts w:ascii="Verdana" w:hAnsi="Verdana"/>
                <w:b/>
                <w:sz w:val="16"/>
                <w:szCs w:val="16"/>
              </w:rPr>
            </w:pPr>
          </w:p>
        </w:tc>
      </w:tr>
      <w:tr w:rsidR="003C1D7A" w:rsidRPr="00A30154" w14:paraId="018FBB83" w14:textId="77777777" w:rsidTr="003C1D7A">
        <w:trPr>
          <w:trHeight w:val="614"/>
          <w:tblCellSpacing w:w="11" w:type="dxa"/>
        </w:trPr>
        <w:tc>
          <w:tcPr>
            <w:tcW w:w="748" w:type="dxa"/>
            <w:shd w:val="clear" w:color="auto" w:fill="F2F2F2" w:themeFill="background1" w:themeFillShade="F2"/>
          </w:tcPr>
          <w:p w14:paraId="7C357906"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5)</w:t>
            </w:r>
          </w:p>
        </w:tc>
        <w:tc>
          <w:tcPr>
            <w:tcW w:w="7130" w:type="dxa"/>
            <w:shd w:val="clear" w:color="auto" w:fill="EEECE1" w:themeFill="background2"/>
          </w:tcPr>
          <w:p w14:paraId="2A70D05F" w14:textId="77777777" w:rsidR="003C1D7A" w:rsidRPr="00760075" w:rsidRDefault="003C1D7A" w:rsidP="003C1D7A">
            <w:pPr>
              <w:ind w:right="155"/>
              <w:contextualSpacing/>
              <w:rPr>
                <w:rFonts w:ascii="Verdana" w:hAnsi="Verdana" w:cs="Arial"/>
                <w:color w:val="000000"/>
                <w:sz w:val="16"/>
                <w:szCs w:val="16"/>
              </w:rPr>
            </w:pPr>
            <w:r w:rsidRPr="00760075">
              <w:rPr>
                <w:rFonts w:ascii="Verdana" w:hAnsi="Verdana" w:cs="Arial"/>
                <w:color w:val="000000"/>
                <w:sz w:val="16"/>
                <w:szCs w:val="16"/>
              </w:rPr>
              <w:t>Registered providers must ensure that clear, up-to-date strategic objectives are in place. These objectives must:</w:t>
            </w:r>
          </w:p>
          <w:p w14:paraId="44F68349" w14:textId="77777777" w:rsidR="003C1D7A" w:rsidRPr="00760075" w:rsidRDefault="003C1D7A" w:rsidP="003C1D7A">
            <w:pPr>
              <w:ind w:right="155"/>
              <w:contextualSpacing/>
              <w:rPr>
                <w:rFonts w:ascii="Verdana" w:hAnsi="Verdana" w:cs="Arial"/>
                <w:color w:val="000000"/>
                <w:sz w:val="16"/>
                <w:szCs w:val="16"/>
              </w:rPr>
            </w:pPr>
          </w:p>
          <w:p w14:paraId="401758E4" w14:textId="77777777" w:rsidR="003C1D7A" w:rsidRPr="00760075" w:rsidRDefault="003C1D7A" w:rsidP="003C1D7A">
            <w:pPr>
              <w:pStyle w:val="Bullets"/>
              <w:numPr>
                <w:ilvl w:val="0"/>
                <w:numId w:val="19"/>
              </w:numPr>
              <w:spacing w:after="0"/>
              <w:contextualSpacing/>
              <w:jc w:val="left"/>
            </w:pPr>
            <w:r w:rsidRPr="00760075">
              <w:rPr>
                <w:rFonts w:ascii="Verdana" w:hAnsi="Verdana"/>
                <w:sz w:val="16"/>
                <w:szCs w:val="16"/>
              </w:rPr>
              <w:t>deal with the medium to long-term future of the organisation</w:t>
            </w:r>
          </w:p>
          <w:p w14:paraId="5ABA06B5" w14:textId="77777777" w:rsidR="003C1D7A" w:rsidRPr="00760075" w:rsidRDefault="003C1D7A" w:rsidP="003C1D7A">
            <w:pPr>
              <w:pStyle w:val="Bullets"/>
              <w:numPr>
                <w:ilvl w:val="0"/>
                <w:numId w:val="0"/>
              </w:numPr>
              <w:spacing w:after="0"/>
              <w:ind w:left="539" w:hanging="539"/>
              <w:contextualSpacing/>
              <w:jc w:val="left"/>
            </w:pPr>
          </w:p>
          <w:p w14:paraId="2DA02C77" w14:textId="77777777" w:rsidR="003C1D7A" w:rsidRPr="00760075" w:rsidRDefault="003C1D7A" w:rsidP="003C1D7A">
            <w:pPr>
              <w:pStyle w:val="Bullets"/>
              <w:numPr>
                <w:ilvl w:val="0"/>
                <w:numId w:val="19"/>
              </w:numPr>
              <w:spacing w:after="0"/>
              <w:contextualSpacing/>
              <w:jc w:val="left"/>
              <w:rPr>
                <w:rFonts w:ascii="Verdana" w:hAnsi="Verdana"/>
                <w:sz w:val="16"/>
                <w:szCs w:val="16"/>
              </w:rPr>
            </w:pPr>
            <w:r w:rsidRPr="00760075">
              <w:rPr>
                <w:rFonts w:ascii="Verdana" w:hAnsi="Verdana"/>
                <w:sz w:val="16"/>
                <w:szCs w:val="16"/>
              </w:rPr>
              <w:t>include measurable targets based on outcomes, and</w:t>
            </w:r>
          </w:p>
          <w:p w14:paraId="74D69B7B" w14:textId="77777777" w:rsidR="003C1D7A" w:rsidRPr="00760075" w:rsidRDefault="003C1D7A" w:rsidP="003C1D7A">
            <w:pPr>
              <w:pStyle w:val="ListParagraph"/>
              <w:rPr>
                <w:rFonts w:ascii="Verdana" w:hAnsi="Verdana"/>
                <w:sz w:val="16"/>
                <w:szCs w:val="16"/>
              </w:rPr>
            </w:pPr>
          </w:p>
          <w:p w14:paraId="6817BE1C" w14:textId="77777777" w:rsidR="003C1D7A" w:rsidRPr="00760075" w:rsidRDefault="003C1D7A" w:rsidP="003C1D7A">
            <w:pPr>
              <w:pStyle w:val="Bullets"/>
              <w:numPr>
                <w:ilvl w:val="0"/>
                <w:numId w:val="19"/>
              </w:numPr>
              <w:spacing w:after="0"/>
              <w:contextualSpacing/>
              <w:jc w:val="left"/>
            </w:pPr>
            <w:r w:rsidRPr="00760075">
              <w:rPr>
                <w:rFonts w:ascii="Verdana" w:hAnsi="Verdana"/>
                <w:sz w:val="16"/>
                <w:szCs w:val="16"/>
              </w:rPr>
              <w:t>be demonstrably linked to the aims and purpose of the organisation.</w:t>
            </w:r>
          </w:p>
          <w:p w14:paraId="71E51EE5" w14:textId="77777777" w:rsidR="003C1D7A" w:rsidRPr="00760075" w:rsidRDefault="003C1D7A" w:rsidP="003C1D7A">
            <w:pPr>
              <w:pStyle w:val="Bullets"/>
              <w:numPr>
                <w:ilvl w:val="0"/>
                <w:numId w:val="0"/>
              </w:numPr>
              <w:spacing w:after="0"/>
              <w:ind w:left="296"/>
              <w:contextualSpacing/>
              <w:jc w:val="left"/>
            </w:pPr>
          </w:p>
        </w:tc>
        <w:tc>
          <w:tcPr>
            <w:tcW w:w="7342" w:type="dxa"/>
          </w:tcPr>
          <w:p w14:paraId="6714A01B" w14:textId="77777777" w:rsidR="003C1D7A" w:rsidRPr="00B02749" w:rsidRDefault="003C1D7A" w:rsidP="003C1D7A">
            <w:pPr>
              <w:rPr>
                <w:rFonts w:ascii="Verdana" w:hAnsi="Verdana"/>
                <w:sz w:val="16"/>
                <w:szCs w:val="16"/>
              </w:rPr>
            </w:pPr>
            <w:r w:rsidRPr="00B02749">
              <w:rPr>
                <w:rFonts w:ascii="Verdana" w:hAnsi="Verdana"/>
                <w:sz w:val="16"/>
                <w:szCs w:val="16"/>
              </w:rPr>
              <w:t xml:space="preserve"> </w:t>
            </w:r>
          </w:p>
          <w:p w14:paraId="1D4F1576" w14:textId="77777777" w:rsidR="003C1D7A" w:rsidRPr="00B02749" w:rsidRDefault="003C1D7A" w:rsidP="003C1D7A">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7DF707AF" w14:textId="77777777" w:rsidR="003C1D7A" w:rsidRPr="00B02749" w:rsidRDefault="003C1D7A" w:rsidP="003C1D7A">
            <w:pPr>
              <w:rPr>
                <w:rFonts w:ascii="Verdana" w:hAnsi="Verdana"/>
                <w:sz w:val="16"/>
                <w:szCs w:val="16"/>
              </w:rPr>
            </w:pPr>
          </w:p>
          <w:p w14:paraId="08EED125" w14:textId="77777777" w:rsidR="003C1D7A" w:rsidRPr="00B02749" w:rsidRDefault="003C1D7A" w:rsidP="003C1D7A">
            <w:pPr>
              <w:rPr>
                <w:rFonts w:ascii="Verdana" w:hAnsi="Verdana"/>
                <w:sz w:val="16"/>
                <w:szCs w:val="16"/>
              </w:rPr>
            </w:pPr>
          </w:p>
          <w:p w14:paraId="4CDA22A0" w14:textId="77777777" w:rsidR="003C1D7A" w:rsidRPr="00B02749" w:rsidRDefault="003C1D7A" w:rsidP="003C1D7A">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676F3814" w14:textId="77777777" w:rsidR="003C1D7A" w:rsidRPr="00B02749" w:rsidRDefault="003C1D7A" w:rsidP="003C1D7A">
            <w:pPr>
              <w:pStyle w:val="ListParagraph"/>
              <w:numPr>
                <w:ilvl w:val="0"/>
                <w:numId w:val="4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30C73CF2" w14:textId="77777777" w:rsidR="003C1D7A" w:rsidRPr="00B02749" w:rsidRDefault="003C1D7A" w:rsidP="003C1D7A">
            <w:pPr>
              <w:pStyle w:val="ListParagraph"/>
              <w:numPr>
                <w:ilvl w:val="0"/>
                <w:numId w:val="4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6679D60C" w14:textId="77777777" w:rsidR="003C1D7A" w:rsidRPr="00B02749" w:rsidRDefault="003C1D7A" w:rsidP="003C1D7A">
            <w:pPr>
              <w:pStyle w:val="ListParagraph"/>
              <w:numPr>
                <w:ilvl w:val="0"/>
                <w:numId w:val="41"/>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6B1564CC" w14:textId="77777777" w:rsidR="003C1D7A" w:rsidRPr="00B02749" w:rsidRDefault="003C1D7A" w:rsidP="003C1D7A">
            <w:pPr>
              <w:spacing w:line="276" w:lineRule="auto"/>
              <w:rPr>
                <w:rFonts w:ascii="Verdana" w:hAnsi="Verdana"/>
                <w:bCs/>
                <w:sz w:val="16"/>
                <w:szCs w:val="16"/>
              </w:rPr>
            </w:pPr>
          </w:p>
          <w:p w14:paraId="2EC8C92A" w14:textId="77777777" w:rsidR="003C1D7A" w:rsidRPr="00B02749" w:rsidRDefault="003C1D7A" w:rsidP="003C1D7A">
            <w:pPr>
              <w:spacing w:line="276" w:lineRule="auto"/>
              <w:rPr>
                <w:rFonts w:ascii="Verdana" w:hAnsi="Verdana"/>
                <w:b/>
                <w:sz w:val="16"/>
                <w:szCs w:val="16"/>
              </w:rPr>
            </w:pPr>
          </w:p>
          <w:p w14:paraId="67DA2F31" w14:textId="77777777" w:rsidR="003C1D7A" w:rsidRPr="00B02749" w:rsidRDefault="003C1D7A" w:rsidP="003C1D7A">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0BEF9765" w14:textId="14A044C0" w:rsidR="003C1D7A" w:rsidRPr="00E95170" w:rsidRDefault="003C1D7A" w:rsidP="003C1D7A">
            <w:pPr>
              <w:rPr>
                <w:rFonts w:ascii="Verdana" w:hAnsi="Verdana"/>
                <w:sz w:val="16"/>
                <w:szCs w:val="16"/>
              </w:rPr>
            </w:pPr>
          </w:p>
        </w:tc>
      </w:tr>
      <w:tr w:rsidR="003C1D7A" w:rsidRPr="00A30154" w14:paraId="4E9EA4DC" w14:textId="77777777" w:rsidTr="005032E1">
        <w:trPr>
          <w:trHeight w:val="666"/>
          <w:tblCellSpacing w:w="11" w:type="dxa"/>
        </w:trPr>
        <w:tc>
          <w:tcPr>
            <w:tcW w:w="748" w:type="dxa"/>
            <w:shd w:val="clear" w:color="auto" w:fill="F2F2F2" w:themeFill="background1" w:themeFillShade="F2"/>
          </w:tcPr>
          <w:p w14:paraId="02193E73" w14:textId="77777777" w:rsidR="003C1D7A" w:rsidRPr="00A30154" w:rsidRDefault="003C1D7A" w:rsidP="003C1D7A">
            <w:pPr>
              <w:jc w:val="center"/>
              <w:rPr>
                <w:rFonts w:ascii="Verdana" w:hAnsi="Verdana" w:cs="Arial"/>
                <w:b/>
                <w:sz w:val="16"/>
                <w:szCs w:val="16"/>
              </w:rPr>
            </w:pPr>
          </w:p>
          <w:p w14:paraId="1D7D7B8D" w14:textId="77777777" w:rsidR="003C1D7A" w:rsidRPr="00A30154" w:rsidRDefault="003C1D7A" w:rsidP="003C1D7A">
            <w:pPr>
              <w:jc w:val="center"/>
              <w:rPr>
                <w:rFonts w:ascii="Verdana" w:hAnsi="Verdana" w:cs="Arial"/>
                <w:b/>
                <w:sz w:val="16"/>
                <w:szCs w:val="16"/>
              </w:rPr>
            </w:pPr>
            <w:r w:rsidRPr="00A30154">
              <w:rPr>
                <w:rFonts w:ascii="Verdana" w:hAnsi="Verdana" w:cs="Arial"/>
                <w:b/>
                <w:sz w:val="16"/>
                <w:szCs w:val="16"/>
              </w:rPr>
              <w:t>1.1b</w:t>
            </w:r>
          </w:p>
        </w:tc>
        <w:tc>
          <w:tcPr>
            <w:tcW w:w="14494" w:type="dxa"/>
            <w:gridSpan w:val="2"/>
            <w:shd w:val="clear" w:color="auto" w:fill="F2F2F2" w:themeFill="background1" w:themeFillShade="F2"/>
          </w:tcPr>
          <w:p w14:paraId="71F990EB" w14:textId="77777777" w:rsidR="003C1D7A" w:rsidRPr="00A30154" w:rsidRDefault="003C1D7A" w:rsidP="003C1D7A">
            <w:pPr>
              <w:contextualSpacing/>
              <w:rPr>
                <w:rFonts w:ascii="Verdana" w:hAnsi="Verdana" w:cs="Arial"/>
                <w:b/>
                <w:color w:val="000000"/>
                <w:sz w:val="16"/>
                <w:szCs w:val="16"/>
              </w:rPr>
            </w:pPr>
          </w:p>
          <w:p w14:paraId="0E397DE0" w14:textId="77777777" w:rsidR="003C1D7A" w:rsidRPr="00A30154" w:rsidRDefault="003C1D7A" w:rsidP="003C1D7A">
            <w:pPr>
              <w:contextualSpacing/>
              <w:rPr>
                <w:rFonts w:ascii="Verdana" w:hAnsi="Verdana" w:cs="Arial"/>
                <w:b/>
                <w:sz w:val="16"/>
                <w:szCs w:val="16"/>
              </w:rPr>
            </w:pPr>
            <w:r w:rsidRPr="00A30154">
              <w:rPr>
                <w:rFonts w:ascii="Verdana" w:hAnsi="Verdana" w:cs="Arial"/>
                <w:b/>
                <w:color w:val="000000"/>
                <w:sz w:val="16"/>
                <w:szCs w:val="16"/>
              </w:rPr>
              <w:t>Registered providers must have an approach agreed by their board to achieving value for money in meeting these objectives and demonstrate their delivery of value for money to stakeholders</w:t>
            </w:r>
          </w:p>
        </w:tc>
      </w:tr>
      <w:tr w:rsidR="003C1D7A" w:rsidRPr="00A30154" w14:paraId="4BC53D13" w14:textId="77777777" w:rsidTr="003C1D7A">
        <w:trPr>
          <w:trHeight w:val="882"/>
          <w:tblCellSpacing w:w="11" w:type="dxa"/>
        </w:trPr>
        <w:tc>
          <w:tcPr>
            <w:tcW w:w="748" w:type="dxa"/>
            <w:shd w:val="clear" w:color="auto" w:fill="F2F2F2" w:themeFill="background1" w:themeFillShade="F2"/>
          </w:tcPr>
          <w:p w14:paraId="37276563"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6a)</w:t>
            </w:r>
          </w:p>
        </w:tc>
        <w:tc>
          <w:tcPr>
            <w:tcW w:w="7130" w:type="dxa"/>
            <w:shd w:val="clear" w:color="auto" w:fill="EEECE1" w:themeFill="background2"/>
          </w:tcPr>
          <w:p w14:paraId="7D695C28" w14:textId="77777777" w:rsidR="003C1D7A" w:rsidRPr="00760075" w:rsidRDefault="003C1D7A" w:rsidP="003C1D7A">
            <w:pPr>
              <w:pStyle w:val="ListParagraph"/>
              <w:ind w:left="13"/>
              <w:rPr>
                <w:rFonts w:ascii="Verdana" w:hAnsi="Verdana" w:cs="Arial"/>
                <w:color w:val="000000"/>
                <w:sz w:val="16"/>
                <w:szCs w:val="16"/>
              </w:rPr>
            </w:pPr>
            <w:r w:rsidRPr="00760075">
              <w:rPr>
                <w:rFonts w:ascii="Verdana" w:hAnsi="Verdana" w:cs="Arial"/>
                <w:color w:val="000000"/>
                <w:sz w:val="16"/>
                <w:szCs w:val="16"/>
              </w:rPr>
              <w:t xml:space="preserve">In articulating their strategic objectives, registered providers may choose to embed value for money within those </w:t>
            </w:r>
            <w:proofErr w:type="gramStart"/>
            <w:r w:rsidRPr="00760075">
              <w:rPr>
                <w:rFonts w:ascii="Verdana" w:hAnsi="Verdana" w:cs="Arial"/>
                <w:color w:val="000000"/>
                <w:sz w:val="16"/>
                <w:szCs w:val="16"/>
              </w:rPr>
              <w:t>objectives, or</w:t>
            </w:r>
            <w:proofErr w:type="gramEnd"/>
            <w:r w:rsidRPr="00760075">
              <w:rPr>
                <w:rFonts w:ascii="Verdana" w:hAnsi="Verdana" w:cs="Arial"/>
                <w:color w:val="000000"/>
                <w:sz w:val="16"/>
                <w:szCs w:val="16"/>
              </w:rPr>
              <w:t xml:space="preserve"> may alternatively have a standalone value for money strategy. </w:t>
            </w:r>
          </w:p>
          <w:p w14:paraId="4E015887" w14:textId="77777777" w:rsidR="003C1D7A" w:rsidRPr="00760075" w:rsidRDefault="003C1D7A" w:rsidP="003C1D7A">
            <w:pPr>
              <w:pStyle w:val="ListParagraph"/>
              <w:ind w:left="13"/>
              <w:rPr>
                <w:rFonts w:ascii="Verdana" w:hAnsi="Verdana" w:cs="Arial"/>
                <w:color w:val="000000"/>
                <w:sz w:val="16"/>
                <w:szCs w:val="16"/>
              </w:rPr>
            </w:pPr>
          </w:p>
        </w:tc>
        <w:tc>
          <w:tcPr>
            <w:tcW w:w="7342" w:type="dxa"/>
            <w:vMerge w:val="restart"/>
          </w:tcPr>
          <w:p w14:paraId="2D1F1DBC" w14:textId="77777777" w:rsidR="003C1D7A" w:rsidRPr="00B02749" w:rsidRDefault="003C1D7A" w:rsidP="003C1D7A">
            <w:pPr>
              <w:rPr>
                <w:rFonts w:ascii="Verdana" w:hAnsi="Verdana"/>
                <w:sz w:val="16"/>
                <w:szCs w:val="16"/>
              </w:rPr>
            </w:pPr>
            <w:r w:rsidRPr="00B02749">
              <w:rPr>
                <w:rFonts w:ascii="Verdana" w:hAnsi="Verdana"/>
                <w:sz w:val="16"/>
                <w:szCs w:val="16"/>
              </w:rPr>
              <w:t xml:space="preserve"> </w:t>
            </w:r>
          </w:p>
          <w:p w14:paraId="1DC48C37" w14:textId="77777777" w:rsidR="003C1D7A" w:rsidRPr="00B02749" w:rsidRDefault="003C1D7A" w:rsidP="003C1D7A">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1843E86F" w14:textId="77777777" w:rsidR="003C1D7A" w:rsidRPr="00B02749" w:rsidRDefault="003C1D7A" w:rsidP="003C1D7A">
            <w:pPr>
              <w:rPr>
                <w:rFonts w:ascii="Verdana" w:hAnsi="Verdana"/>
                <w:sz w:val="16"/>
                <w:szCs w:val="16"/>
              </w:rPr>
            </w:pPr>
          </w:p>
          <w:p w14:paraId="0038A49F" w14:textId="77777777" w:rsidR="003C1D7A" w:rsidRPr="00B02749" w:rsidRDefault="003C1D7A" w:rsidP="003C1D7A">
            <w:pPr>
              <w:rPr>
                <w:rFonts w:ascii="Verdana" w:hAnsi="Verdana"/>
                <w:sz w:val="16"/>
                <w:szCs w:val="16"/>
              </w:rPr>
            </w:pPr>
          </w:p>
          <w:p w14:paraId="18102761" w14:textId="77777777" w:rsidR="003C1D7A" w:rsidRPr="00B02749" w:rsidRDefault="003C1D7A" w:rsidP="003C1D7A">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3EC36FE2" w14:textId="77777777" w:rsidR="003C1D7A" w:rsidRPr="00B02749" w:rsidRDefault="003C1D7A" w:rsidP="003C1D7A">
            <w:pPr>
              <w:pStyle w:val="ListParagraph"/>
              <w:numPr>
                <w:ilvl w:val="0"/>
                <w:numId w:val="4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6AA8096C" w14:textId="77777777" w:rsidR="003C1D7A" w:rsidRPr="00B02749" w:rsidRDefault="003C1D7A" w:rsidP="003C1D7A">
            <w:pPr>
              <w:pStyle w:val="ListParagraph"/>
              <w:numPr>
                <w:ilvl w:val="0"/>
                <w:numId w:val="4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related policies and when approved </w:t>
            </w:r>
          </w:p>
          <w:p w14:paraId="4B7E5BDC" w14:textId="77777777" w:rsidR="003C1D7A" w:rsidRPr="00B02749" w:rsidRDefault="003C1D7A" w:rsidP="003C1D7A">
            <w:pPr>
              <w:pStyle w:val="ListParagraph"/>
              <w:numPr>
                <w:ilvl w:val="0"/>
                <w:numId w:val="45"/>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4996E8C7" w14:textId="77777777" w:rsidR="003C1D7A" w:rsidRPr="00B02749" w:rsidRDefault="003C1D7A" w:rsidP="003C1D7A">
            <w:pPr>
              <w:spacing w:line="276" w:lineRule="auto"/>
              <w:rPr>
                <w:rFonts w:ascii="Verdana" w:hAnsi="Verdana"/>
                <w:bCs/>
                <w:sz w:val="16"/>
                <w:szCs w:val="16"/>
              </w:rPr>
            </w:pPr>
          </w:p>
          <w:p w14:paraId="3D6CFCAD" w14:textId="77777777" w:rsidR="003C1D7A" w:rsidRPr="00B02749" w:rsidRDefault="003C1D7A" w:rsidP="003C1D7A">
            <w:pPr>
              <w:spacing w:line="276" w:lineRule="auto"/>
              <w:rPr>
                <w:rFonts w:ascii="Verdana" w:hAnsi="Verdana"/>
                <w:b/>
                <w:sz w:val="16"/>
                <w:szCs w:val="16"/>
              </w:rPr>
            </w:pPr>
          </w:p>
          <w:p w14:paraId="19263F48" w14:textId="77777777" w:rsidR="003C1D7A" w:rsidRPr="00B02749" w:rsidRDefault="003C1D7A" w:rsidP="003C1D7A">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418CA5E6" w14:textId="00E00791" w:rsidR="003C1D7A" w:rsidRPr="00A30154" w:rsidRDefault="003C1D7A" w:rsidP="003C1D7A">
            <w:pPr>
              <w:pStyle w:val="CommentText"/>
              <w:rPr>
                <w:rFonts w:ascii="Verdana" w:hAnsi="Verdana"/>
                <w:sz w:val="16"/>
                <w:szCs w:val="16"/>
              </w:rPr>
            </w:pPr>
          </w:p>
        </w:tc>
      </w:tr>
      <w:tr w:rsidR="003C1D7A" w:rsidRPr="00A30154" w14:paraId="11060A28" w14:textId="77777777" w:rsidTr="003C1D7A">
        <w:trPr>
          <w:trHeight w:val="691"/>
          <w:tblCellSpacing w:w="11" w:type="dxa"/>
        </w:trPr>
        <w:tc>
          <w:tcPr>
            <w:tcW w:w="748" w:type="dxa"/>
            <w:shd w:val="clear" w:color="auto" w:fill="F2F2F2" w:themeFill="background1" w:themeFillShade="F2"/>
          </w:tcPr>
          <w:p w14:paraId="68C4D78B"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 xml:space="preserve">6b) </w:t>
            </w:r>
          </w:p>
        </w:tc>
        <w:tc>
          <w:tcPr>
            <w:tcW w:w="7130" w:type="dxa"/>
            <w:shd w:val="clear" w:color="auto" w:fill="EEECE1" w:themeFill="background2"/>
          </w:tcPr>
          <w:p w14:paraId="628DE0F0" w14:textId="77777777" w:rsidR="003C1D7A" w:rsidRPr="00760075" w:rsidRDefault="003C1D7A" w:rsidP="003C1D7A">
            <w:pPr>
              <w:pStyle w:val="Bullets"/>
              <w:numPr>
                <w:ilvl w:val="0"/>
                <w:numId w:val="0"/>
              </w:numPr>
              <w:spacing w:after="0"/>
              <w:contextualSpacing/>
              <w:jc w:val="left"/>
              <w:rPr>
                <w:rFonts w:ascii="Verdana" w:hAnsi="Verdana" w:cs="Arial"/>
                <w:color w:val="000000"/>
                <w:sz w:val="16"/>
                <w:szCs w:val="16"/>
              </w:rPr>
            </w:pPr>
            <w:r w:rsidRPr="00760075">
              <w:rPr>
                <w:rFonts w:ascii="Verdana" w:hAnsi="Verdana" w:cs="Arial"/>
                <w:color w:val="000000"/>
                <w:sz w:val="16"/>
                <w:szCs w:val="16"/>
              </w:rPr>
              <w:t>Whichever approach is taken, a comprehensive approach to value for money needs to be embedded throughout the business including at the level of individual business streams.</w:t>
            </w:r>
          </w:p>
        </w:tc>
        <w:tc>
          <w:tcPr>
            <w:tcW w:w="7342" w:type="dxa"/>
            <w:vMerge/>
          </w:tcPr>
          <w:p w14:paraId="7A9A6AF4" w14:textId="77777777" w:rsidR="003C1D7A" w:rsidRPr="00A30154" w:rsidRDefault="003C1D7A" w:rsidP="003C1D7A">
            <w:pPr>
              <w:rPr>
                <w:rFonts w:ascii="Verdana" w:hAnsi="Verdana"/>
                <w:sz w:val="16"/>
                <w:szCs w:val="16"/>
              </w:rPr>
            </w:pPr>
          </w:p>
        </w:tc>
      </w:tr>
      <w:tr w:rsidR="003C1D7A" w:rsidRPr="00A30154" w14:paraId="20381138" w14:textId="77777777" w:rsidTr="005032E1">
        <w:trPr>
          <w:trHeight w:val="409"/>
          <w:tblCellSpacing w:w="11" w:type="dxa"/>
        </w:trPr>
        <w:tc>
          <w:tcPr>
            <w:tcW w:w="748" w:type="dxa"/>
            <w:shd w:val="clear" w:color="auto" w:fill="F2F2F2" w:themeFill="background1" w:themeFillShade="F2"/>
          </w:tcPr>
          <w:p w14:paraId="2FC04938" w14:textId="77777777" w:rsidR="003C1D7A" w:rsidRPr="00A30154" w:rsidRDefault="003C1D7A" w:rsidP="003C1D7A">
            <w:pPr>
              <w:jc w:val="center"/>
              <w:rPr>
                <w:rFonts w:ascii="Verdana" w:hAnsi="Verdana" w:cs="Arial"/>
                <w:b/>
                <w:sz w:val="16"/>
                <w:szCs w:val="16"/>
              </w:rPr>
            </w:pPr>
          </w:p>
          <w:p w14:paraId="7EC5B505" w14:textId="77777777" w:rsidR="003C1D7A" w:rsidRPr="00A30154" w:rsidRDefault="003C1D7A" w:rsidP="003C1D7A">
            <w:pPr>
              <w:jc w:val="center"/>
              <w:rPr>
                <w:rFonts w:ascii="Verdana" w:hAnsi="Verdana" w:cs="Arial"/>
                <w:b/>
                <w:sz w:val="16"/>
                <w:szCs w:val="16"/>
              </w:rPr>
            </w:pPr>
            <w:r w:rsidRPr="00A30154">
              <w:rPr>
                <w:rFonts w:ascii="Verdana" w:hAnsi="Verdana" w:cs="Arial"/>
                <w:b/>
                <w:sz w:val="16"/>
                <w:szCs w:val="16"/>
              </w:rPr>
              <w:t>1.1c</w:t>
            </w:r>
          </w:p>
        </w:tc>
        <w:tc>
          <w:tcPr>
            <w:tcW w:w="14494" w:type="dxa"/>
            <w:gridSpan w:val="2"/>
            <w:shd w:val="clear" w:color="auto" w:fill="F2F2F2" w:themeFill="background1" w:themeFillShade="F2"/>
          </w:tcPr>
          <w:p w14:paraId="01BE6C31" w14:textId="77777777" w:rsidR="003C1D7A" w:rsidRPr="00A30154" w:rsidRDefault="003C1D7A" w:rsidP="003C1D7A">
            <w:pPr>
              <w:contextualSpacing/>
              <w:rPr>
                <w:rFonts w:ascii="Verdana" w:hAnsi="Verdana" w:cs="Arial"/>
                <w:b/>
                <w:color w:val="000000"/>
                <w:sz w:val="16"/>
                <w:szCs w:val="16"/>
              </w:rPr>
            </w:pPr>
          </w:p>
          <w:p w14:paraId="01495285" w14:textId="77777777" w:rsidR="003C1D7A" w:rsidRPr="00A30154" w:rsidRDefault="003C1D7A" w:rsidP="003C1D7A">
            <w:pPr>
              <w:contextualSpacing/>
              <w:rPr>
                <w:rFonts w:ascii="Verdana" w:hAnsi="Verdana" w:cs="Arial"/>
                <w:b/>
                <w:color w:val="000000"/>
                <w:sz w:val="16"/>
                <w:szCs w:val="16"/>
              </w:rPr>
            </w:pPr>
            <w:r w:rsidRPr="00A30154">
              <w:rPr>
                <w:rFonts w:ascii="Verdana" w:hAnsi="Verdana" w:cs="Arial"/>
                <w:b/>
                <w:color w:val="000000"/>
                <w:sz w:val="16"/>
                <w:szCs w:val="16"/>
              </w:rPr>
              <w:t>Registered providers must through their strategic objectives, articulate their strategy for delivering homes that meet a range of needs</w:t>
            </w:r>
          </w:p>
          <w:p w14:paraId="74EF6D11" w14:textId="77777777" w:rsidR="003C1D7A" w:rsidRPr="00A30154" w:rsidRDefault="003C1D7A" w:rsidP="003C1D7A">
            <w:pPr>
              <w:rPr>
                <w:rFonts w:ascii="Verdana" w:hAnsi="Verdana"/>
                <w:b/>
                <w:sz w:val="16"/>
                <w:szCs w:val="16"/>
              </w:rPr>
            </w:pPr>
          </w:p>
        </w:tc>
      </w:tr>
      <w:tr w:rsidR="003C1D7A" w:rsidRPr="00A30154" w14:paraId="5936C61F" w14:textId="77777777" w:rsidTr="003C1D7A">
        <w:trPr>
          <w:trHeight w:val="493"/>
          <w:tblCellSpacing w:w="11" w:type="dxa"/>
        </w:trPr>
        <w:tc>
          <w:tcPr>
            <w:tcW w:w="748" w:type="dxa"/>
            <w:shd w:val="clear" w:color="auto" w:fill="F2F2F2" w:themeFill="background1" w:themeFillShade="F2"/>
          </w:tcPr>
          <w:p w14:paraId="21F9554E"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7)</w:t>
            </w:r>
          </w:p>
        </w:tc>
        <w:tc>
          <w:tcPr>
            <w:tcW w:w="7130" w:type="dxa"/>
            <w:shd w:val="clear" w:color="auto" w:fill="EEECE1" w:themeFill="background2"/>
          </w:tcPr>
          <w:p w14:paraId="754A6182" w14:textId="77777777" w:rsidR="003C1D7A" w:rsidRPr="00760075" w:rsidRDefault="003C1D7A" w:rsidP="003C1D7A">
            <w:pPr>
              <w:pStyle w:val="Bullets"/>
              <w:numPr>
                <w:ilvl w:val="0"/>
                <w:numId w:val="0"/>
              </w:numPr>
              <w:spacing w:after="0"/>
              <w:contextualSpacing/>
              <w:jc w:val="left"/>
              <w:rPr>
                <w:rFonts w:ascii="Verdana" w:hAnsi="Verdana" w:cs="Arial"/>
                <w:color w:val="000000"/>
                <w:sz w:val="16"/>
                <w:szCs w:val="16"/>
              </w:rPr>
            </w:pPr>
            <w:r w:rsidRPr="00760075">
              <w:rPr>
                <w:rFonts w:ascii="Verdana" w:hAnsi="Verdana" w:cs="Arial"/>
                <w:color w:val="000000"/>
                <w:sz w:val="16"/>
                <w:szCs w:val="16"/>
              </w:rPr>
              <w:t xml:space="preserve">7) Providers’ objectives must articulate their strategy for delivering homes that meet a range of needs. </w:t>
            </w:r>
          </w:p>
          <w:p w14:paraId="418B9FB4" w14:textId="77777777" w:rsidR="003C1D7A" w:rsidRPr="00760075" w:rsidRDefault="003C1D7A" w:rsidP="003C1D7A">
            <w:pPr>
              <w:pStyle w:val="Bullets"/>
              <w:numPr>
                <w:ilvl w:val="0"/>
                <w:numId w:val="0"/>
              </w:numPr>
              <w:spacing w:after="0"/>
              <w:contextualSpacing/>
              <w:jc w:val="left"/>
              <w:rPr>
                <w:rFonts w:ascii="Verdana" w:hAnsi="Verdana" w:cs="Arial"/>
                <w:color w:val="000000"/>
                <w:sz w:val="16"/>
                <w:szCs w:val="16"/>
              </w:rPr>
            </w:pPr>
          </w:p>
          <w:p w14:paraId="247A9063" w14:textId="77777777" w:rsidR="003C1D7A" w:rsidRPr="00760075" w:rsidRDefault="003C1D7A" w:rsidP="003C1D7A">
            <w:pPr>
              <w:pStyle w:val="Bullets"/>
              <w:numPr>
                <w:ilvl w:val="0"/>
                <w:numId w:val="0"/>
              </w:numPr>
              <w:spacing w:after="0"/>
              <w:contextualSpacing/>
              <w:jc w:val="left"/>
              <w:rPr>
                <w:rFonts w:ascii="Verdana" w:hAnsi="Verdana"/>
                <w:sz w:val="16"/>
                <w:szCs w:val="16"/>
              </w:rPr>
            </w:pPr>
            <w:r w:rsidRPr="00760075">
              <w:rPr>
                <w:rFonts w:ascii="Verdana" w:hAnsi="Verdana" w:cs="Arial"/>
                <w:color w:val="000000"/>
                <w:sz w:val="16"/>
                <w:szCs w:val="16"/>
              </w:rPr>
              <w:t xml:space="preserve">This might, for example, include their plans for new development to meet unmet housing need in particular localities, or investment in the existing stock to sustain its quality and/or better meet the needs of </w:t>
            </w:r>
            <w:proofErr w:type="gramStart"/>
            <w:r w:rsidRPr="00760075">
              <w:rPr>
                <w:rFonts w:ascii="Verdana" w:hAnsi="Verdana" w:cs="Arial"/>
                <w:color w:val="000000"/>
                <w:sz w:val="16"/>
                <w:szCs w:val="16"/>
              </w:rPr>
              <w:t>particular client</w:t>
            </w:r>
            <w:proofErr w:type="gramEnd"/>
            <w:r w:rsidRPr="00760075">
              <w:rPr>
                <w:rFonts w:ascii="Verdana" w:hAnsi="Verdana" w:cs="Arial"/>
                <w:color w:val="000000"/>
                <w:sz w:val="16"/>
                <w:szCs w:val="16"/>
              </w:rPr>
              <w:t xml:space="preserve"> groups.</w:t>
            </w:r>
          </w:p>
          <w:p w14:paraId="0D01F132" w14:textId="77777777" w:rsidR="003C1D7A" w:rsidRPr="00760075" w:rsidRDefault="003C1D7A" w:rsidP="003C1D7A">
            <w:pPr>
              <w:pStyle w:val="Bullets"/>
              <w:numPr>
                <w:ilvl w:val="0"/>
                <w:numId w:val="0"/>
              </w:numPr>
              <w:spacing w:after="0"/>
              <w:contextualSpacing/>
              <w:jc w:val="left"/>
              <w:rPr>
                <w:rFonts w:ascii="Verdana" w:hAnsi="Verdana" w:cs="Arial"/>
                <w:sz w:val="16"/>
                <w:szCs w:val="16"/>
              </w:rPr>
            </w:pPr>
          </w:p>
        </w:tc>
        <w:tc>
          <w:tcPr>
            <w:tcW w:w="7342" w:type="dxa"/>
            <w:tcBorders>
              <w:top w:val="nil"/>
              <w:bottom w:val="single" w:sz="6" w:space="0" w:color="A6A6A6" w:themeColor="background1" w:themeShade="A6"/>
            </w:tcBorders>
          </w:tcPr>
          <w:p w14:paraId="0DCA7589" w14:textId="77777777" w:rsidR="003C1D7A" w:rsidRPr="00B02749" w:rsidRDefault="003C1D7A" w:rsidP="003C1D7A">
            <w:pPr>
              <w:rPr>
                <w:rFonts w:ascii="Verdana" w:hAnsi="Verdana"/>
                <w:sz w:val="16"/>
                <w:szCs w:val="16"/>
              </w:rPr>
            </w:pPr>
            <w:r w:rsidRPr="00B02749">
              <w:rPr>
                <w:rFonts w:ascii="Verdana" w:hAnsi="Verdana"/>
                <w:sz w:val="16"/>
                <w:szCs w:val="16"/>
              </w:rPr>
              <w:t xml:space="preserve"> </w:t>
            </w:r>
          </w:p>
          <w:p w14:paraId="2B0BB341" w14:textId="77777777" w:rsidR="003C1D7A" w:rsidRPr="00B02749" w:rsidRDefault="003C1D7A" w:rsidP="003C1D7A">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7AE89E13" w14:textId="77777777" w:rsidR="003C1D7A" w:rsidRPr="00B02749" w:rsidRDefault="003C1D7A" w:rsidP="003C1D7A">
            <w:pPr>
              <w:rPr>
                <w:rFonts w:ascii="Verdana" w:hAnsi="Verdana"/>
                <w:sz w:val="16"/>
                <w:szCs w:val="16"/>
              </w:rPr>
            </w:pPr>
          </w:p>
          <w:p w14:paraId="49053A75" w14:textId="77777777" w:rsidR="003C1D7A" w:rsidRPr="00B02749" w:rsidRDefault="003C1D7A" w:rsidP="003C1D7A">
            <w:pPr>
              <w:rPr>
                <w:rFonts w:ascii="Verdana" w:hAnsi="Verdana"/>
                <w:sz w:val="16"/>
                <w:szCs w:val="16"/>
              </w:rPr>
            </w:pPr>
          </w:p>
          <w:p w14:paraId="68A08892" w14:textId="77777777" w:rsidR="003C1D7A" w:rsidRPr="00B02749" w:rsidRDefault="003C1D7A" w:rsidP="003C1D7A">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71A442B8" w14:textId="77777777" w:rsidR="003C1D7A" w:rsidRPr="00B02749" w:rsidRDefault="003C1D7A" w:rsidP="003C1D7A">
            <w:pPr>
              <w:pStyle w:val="ListParagraph"/>
              <w:numPr>
                <w:ilvl w:val="0"/>
                <w:numId w:val="4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Details of reports, who and when approved</w:t>
            </w:r>
          </w:p>
          <w:p w14:paraId="45A08C72" w14:textId="77777777" w:rsidR="003C1D7A" w:rsidRPr="00B02749" w:rsidRDefault="003C1D7A" w:rsidP="003C1D7A">
            <w:pPr>
              <w:pStyle w:val="ListParagraph"/>
              <w:numPr>
                <w:ilvl w:val="0"/>
                <w:numId w:val="4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lastRenderedPageBreak/>
              <w:t xml:space="preserve">Details of any related policies and when approved </w:t>
            </w:r>
          </w:p>
          <w:p w14:paraId="3B38D824" w14:textId="77777777" w:rsidR="003C1D7A" w:rsidRPr="00B02749" w:rsidRDefault="003C1D7A" w:rsidP="003C1D7A">
            <w:pPr>
              <w:pStyle w:val="ListParagraph"/>
              <w:numPr>
                <w:ilvl w:val="0"/>
                <w:numId w:val="44"/>
              </w:numPr>
              <w:rPr>
                <w:rFonts w:ascii="Verdana" w:hAnsi="Verdana"/>
                <w:bCs/>
                <w:color w:val="E36C0A" w:themeColor="accent6" w:themeShade="BF"/>
                <w:sz w:val="16"/>
                <w:szCs w:val="16"/>
              </w:rPr>
            </w:pPr>
            <w:r w:rsidRPr="00B02749">
              <w:rPr>
                <w:rFonts w:ascii="Verdana" w:hAnsi="Verdana"/>
                <w:bCs/>
                <w:color w:val="E36C0A" w:themeColor="accent6" w:themeShade="BF"/>
                <w:sz w:val="16"/>
                <w:szCs w:val="16"/>
              </w:rPr>
              <w:t xml:space="preserve">Details of any audits </w:t>
            </w:r>
          </w:p>
          <w:p w14:paraId="0EC8B80B" w14:textId="77777777" w:rsidR="003C1D7A" w:rsidRPr="00B02749" w:rsidRDefault="003C1D7A" w:rsidP="003C1D7A">
            <w:pPr>
              <w:spacing w:line="276" w:lineRule="auto"/>
              <w:rPr>
                <w:rFonts w:ascii="Verdana" w:hAnsi="Verdana"/>
                <w:bCs/>
                <w:sz w:val="16"/>
                <w:szCs w:val="16"/>
              </w:rPr>
            </w:pPr>
          </w:p>
          <w:p w14:paraId="4549451A" w14:textId="77777777" w:rsidR="003C1D7A" w:rsidRPr="00B02749" w:rsidRDefault="003C1D7A" w:rsidP="003C1D7A">
            <w:pPr>
              <w:spacing w:line="276" w:lineRule="auto"/>
              <w:rPr>
                <w:rFonts w:ascii="Verdana" w:hAnsi="Verdana"/>
                <w:b/>
                <w:sz w:val="16"/>
                <w:szCs w:val="16"/>
              </w:rPr>
            </w:pPr>
          </w:p>
          <w:p w14:paraId="26ECDEBF" w14:textId="77777777" w:rsidR="003C1D7A" w:rsidRPr="00B02749" w:rsidRDefault="003C1D7A" w:rsidP="003C1D7A">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4A0FBF9D" w14:textId="63C67A61" w:rsidR="003C1D7A" w:rsidRPr="00260C01" w:rsidRDefault="003C1D7A" w:rsidP="003C1D7A">
            <w:pPr>
              <w:pStyle w:val="CommentText"/>
              <w:rPr>
                <w:rFonts w:ascii="Verdana" w:hAnsi="Verdana" w:cs="Arial"/>
                <w:sz w:val="10"/>
                <w:szCs w:val="16"/>
              </w:rPr>
            </w:pPr>
          </w:p>
        </w:tc>
      </w:tr>
      <w:tr w:rsidR="003C1D7A" w:rsidRPr="00A30154" w14:paraId="31D7750F" w14:textId="77777777" w:rsidTr="005032E1">
        <w:trPr>
          <w:trHeight w:val="540"/>
          <w:tblCellSpacing w:w="11" w:type="dxa"/>
        </w:trPr>
        <w:tc>
          <w:tcPr>
            <w:tcW w:w="748" w:type="dxa"/>
            <w:shd w:val="clear" w:color="auto" w:fill="F2F2F2" w:themeFill="background1" w:themeFillShade="F2"/>
          </w:tcPr>
          <w:p w14:paraId="255B762B" w14:textId="77777777" w:rsidR="003C1D7A" w:rsidRPr="00A30154" w:rsidRDefault="003C1D7A" w:rsidP="003C1D7A">
            <w:pPr>
              <w:jc w:val="center"/>
              <w:rPr>
                <w:rFonts w:ascii="Verdana" w:hAnsi="Verdana" w:cs="Arial"/>
                <w:b/>
                <w:sz w:val="16"/>
                <w:szCs w:val="16"/>
              </w:rPr>
            </w:pPr>
            <w:r w:rsidRPr="00A30154">
              <w:rPr>
                <w:rFonts w:ascii="Verdana" w:hAnsi="Verdana" w:cs="Arial"/>
                <w:b/>
                <w:sz w:val="16"/>
                <w:szCs w:val="16"/>
              </w:rPr>
              <w:lastRenderedPageBreak/>
              <w:t>1.1d</w:t>
            </w:r>
          </w:p>
        </w:tc>
        <w:tc>
          <w:tcPr>
            <w:tcW w:w="14494" w:type="dxa"/>
            <w:gridSpan w:val="2"/>
            <w:shd w:val="clear" w:color="auto" w:fill="F2F2F2" w:themeFill="background1" w:themeFillShade="F2"/>
          </w:tcPr>
          <w:p w14:paraId="40D12078" w14:textId="77777777" w:rsidR="003C1D7A" w:rsidRPr="00A30154" w:rsidRDefault="003C1D7A" w:rsidP="003C1D7A">
            <w:pPr>
              <w:rPr>
                <w:rFonts w:ascii="Verdana" w:hAnsi="Verdana"/>
                <w:b/>
                <w:sz w:val="16"/>
                <w:szCs w:val="16"/>
              </w:rPr>
            </w:pPr>
            <w:r w:rsidRPr="00A30154">
              <w:rPr>
                <w:rFonts w:ascii="Verdana" w:hAnsi="Verdana" w:cs="Arial"/>
                <w:b/>
                <w:color w:val="000000"/>
                <w:sz w:val="16"/>
                <w:szCs w:val="16"/>
              </w:rPr>
              <w:t xml:space="preserve">Registered providers must ensure that optimal benefit is derived from resources and assets and optimise economy, </w:t>
            </w:r>
            <w:proofErr w:type="gramStart"/>
            <w:r w:rsidRPr="00A30154">
              <w:rPr>
                <w:rFonts w:ascii="Verdana" w:hAnsi="Verdana" w:cs="Arial"/>
                <w:b/>
                <w:color w:val="000000"/>
                <w:sz w:val="16"/>
                <w:szCs w:val="16"/>
              </w:rPr>
              <w:t>efficiency</w:t>
            </w:r>
            <w:proofErr w:type="gramEnd"/>
            <w:r w:rsidRPr="00A30154">
              <w:rPr>
                <w:rFonts w:ascii="Verdana" w:hAnsi="Verdana" w:cs="Arial"/>
                <w:b/>
                <w:color w:val="000000"/>
                <w:sz w:val="16"/>
                <w:szCs w:val="16"/>
              </w:rPr>
              <w:t xml:space="preserve"> and effectiveness in the delivery of their strategic objectives.</w:t>
            </w:r>
          </w:p>
        </w:tc>
      </w:tr>
      <w:tr w:rsidR="003C1D7A" w:rsidRPr="00A30154" w14:paraId="35DDAA38" w14:textId="77777777" w:rsidTr="003C1D7A">
        <w:trPr>
          <w:trHeight w:val="777"/>
          <w:tblCellSpacing w:w="11" w:type="dxa"/>
        </w:trPr>
        <w:tc>
          <w:tcPr>
            <w:tcW w:w="748" w:type="dxa"/>
            <w:shd w:val="clear" w:color="auto" w:fill="F2F2F2" w:themeFill="background1" w:themeFillShade="F2"/>
          </w:tcPr>
          <w:p w14:paraId="31B295A5" w14:textId="77777777" w:rsidR="003C1D7A" w:rsidRPr="00C22A22" w:rsidRDefault="003C1D7A" w:rsidP="003C1D7A">
            <w:pPr>
              <w:jc w:val="center"/>
              <w:rPr>
                <w:rFonts w:ascii="Verdana" w:hAnsi="Verdana" w:cs="Arial"/>
                <w:sz w:val="16"/>
                <w:szCs w:val="16"/>
                <w:highlight w:val="yellow"/>
              </w:rPr>
            </w:pPr>
            <w:r w:rsidRPr="005112E3">
              <w:rPr>
                <w:rFonts w:ascii="Verdana" w:hAnsi="Verdana" w:cs="Arial"/>
                <w:sz w:val="16"/>
                <w:szCs w:val="16"/>
              </w:rPr>
              <w:t>8)</w:t>
            </w:r>
          </w:p>
        </w:tc>
        <w:tc>
          <w:tcPr>
            <w:tcW w:w="7130" w:type="dxa"/>
            <w:shd w:val="clear" w:color="auto" w:fill="EEECE1" w:themeFill="background2"/>
          </w:tcPr>
          <w:p w14:paraId="2B23A293" w14:textId="77777777" w:rsidR="003C1D7A" w:rsidRPr="005112E3" w:rsidRDefault="003C1D7A" w:rsidP="003C1D7A">
            <w:pPr>
              <w:rPr>
                <w:rFonts w:ascii="Verdana" w:hAnsi="Verdana" w:cs="Arial"/>
                <w:sz w:val="16"/>
                <w:szCs w:val="16"/>
              </w:rPr>
            </w:pPr>
            <w:r w:rsidRPr="005112E3">
              <w:rPr>
                <w:rFonts w:ascii="Verdana" w:hAnsi="Verdana" w:cs="Arial"/>
                <w:sz w:val="16"/>
                <w:szCs w:val="16"/>
              </w:rPr>
              <w:t xml:space="preserve">Achieving Value for Money should include achieving economy, </w:t>
            </w:r>
            <w:proofErr w:type="gramStart"/>
            <w:r w:rsidRPr="005112E3">
              <w:rPr>
                <w:rFonts w:ascii="Verdana" w:hAnsi="Verdana" w:cs="Arial"/>
                <w:sz w:val="16"/>
                <w:szCs w:val="16"/>
              </w:rPr>
              <w:t>efficiency</w:t>
            </w:r>
            <w:proofErr w:type="gramEnd"/>
            <w:r w:rsidRPr="005112E3">
              <w:rPr>
                <w:rFonts w:ascii="Verdana" w:hAnsi="Verdana" w:cs="Arial"/>
                <w:sz w:val="16"/>
                <w:szCs w:val="16"/>
              </w:rPr>
              <w:t xml:space="preserve"> and effectiveness in all areas of activity, taking into account the outputs achieved as well as input costs. Economy, </w:t>
            </w:r>
            <w:proofErr w:type="gramStart"/>
            <w:r w:rsidRPr="005112E3">
              <w:rPr>
                <w:rFonts w:ascii="Verdana" w:hAnsi="Verdana" w:cs="Arial"/>
                <w:sz w:val="16"/>
                <w:szCs w:val="16"/>
              </w:rPr>
              <w:t>efficiency</w:t>
            </w:r>
            <w:proofErr w:type="gramEnd"/>
            <w:r w:rsidRPr="005112E3">
              <w:rPr>
                <w:rFonts w:ascii="Verdana" w:hAnsi="Verdana" w:cs="Arial"/>
                <w:sz w:val="16"/>
                <w:szCs w:val="16"/>
              </w:rPr>
              <w:t xml:space="preserve"> and effectiveness are defined as follows:</w:t>
            </w:r>
          </w:p>
          <w:p w14:paraId="1120ADC2" w14:textId="77777777" w:rsidR="003C1D7A" w:rsidRPr="005112E3" w:rsidRDefault="003C1D7A" w:rsidP="003C1D7A">
            <w:pPr>
              <w:rPr>
                <w:rFonts w:ascii="Verdana" w:hAnsi="Verdana" w:cs="Arial"/>
                <w:sz w:val="16"/>
                <w:szCs w:val="16"/>
              </w:rPr>
            </w:pPr>
          </w:p>
          <w:p w14:paraId="2DB6A27A" w14:textId="77777777" w:rsidR="003C1D7A" w:rsidRPr="005112E3" w:rsidRDefault="003C1D7A" w:rsidP="003C1D7A">
            <w:pPr>
              <w:rPr>
                <w:rFonts w:ascii="Verdana" w:hAnsi="Verdana" w:cs="Arial"/>
                <w:sz w:val="16"/>
                <w:szCs w:val="16"/>
              </w:rPr>
            </w:pPr>
            <w:r w:rsidRPr="005112E3">
              <w:rPr>
                <w:rFonts w:ascii="Verdana" w:hAnsi="Verdana" w:cs="Arial"/>
                <w:b/>
                <w:sz w:val="16"/>
                <w:szCs w:val="16"/>
              </w:rPr>
              <w:t>Economy</w:t>
            </w:r>
            <w:r w:rsidRPr="005112E3">
              <w:rPr>
                <w:rFonts w:ascii="Verdana" w:hAnsi="Verdana" w:cs="Arial"/>
                <w:sz w:val="16"/>
                <w:szCs w:val="16"/>
              </w:rPr>
              <w:t>: minimising the cost of resources used while having regard to quality</w:t>
            </w:r>
          </w:p>
          <w:p w14:paraId="5283E23C" w14:textId="77777777" w:rsidR="003C1D7A" w:rsidRPr="005112E3" w:rsidRDefault="003C1D7A" w:rsidP="003C1D7A">
            <w:pPr>
              <w:rPr>
                <w:rFonts w:ascii="Verdana" w:hAnsi="Verdana" w:cs="Arial"/>
                <w:sz w:val="16"/>
                <w:szCs w:val="16"/>
              </w:rPr>
            </w:pPr>
          </w:p>
          <w:p w14:paraId="288AEF51" w14:textId="77777777" w:rsidR="003C1D7A" w:rsidRPr="005112E3" w:rsidRDefault="003C1D7A" w:rsidP="003C1D7A">
            <w:pPr>
              <w:rPr>
                <w:rFonts w:ascii="Verdana" w:hAnsi="Verdana" w:cs="Arial"/>
                <w:sz w:val="16"/>
                <w:szCs w:val="16"/>
              </w:rPr>
            </w:pPr>
            <w:r w:rsidRPr="005112E3">
              <w:rPr>
                <w:rFonts w:ascii="Verdana" w:hAnsi="Verdana" w:cs="Arial"/>
                <w:b/>
                <w:sz w:val="16"/>
                <w:szCs w:val="16"/>
              </w:rPr>
              <w:t>Efficiency</w:t>
            </w:r>
            <w:r w:rsidRPr="005112E3">
              <w:rPr>
                <w:rFonts w:ascii="Verdana" w:hAnsi="Verdana" w:cs="Arial"/>
                <w:sz w:val="16"/>
                <w:szCs w:val="16"/>
              </w:rPr>
              <w:t>: the relationship between the output from goods or services and the resources to produce them</w:t>
            </w:r>
          </w:p>
          <w:p w14:paraId="750BAFE5" w14:textId="77777777" w:rsidR="003C1D7A" w:rsidRPr="005112E3" w:rsidRDefault="003C1D7A" w:rsidP="003C1D7A">
            <w:pPr>
              <w:rPr>
                <w:rFonts w:ascii="Verdana" w:hAnsi="Verdana" w:cs="Arial"/>
                <w:sz w:val="16"/>
                <w:szCs w:val="16"/>
              </w:rPr>
            </w:pPr>
          </w:p>
          <w:p w14:paraId="5C67CA3E" w14:textId="77777777" w:rsidR="003C1D7A" w:rsidRPr="005112E3" w:rsidRDefault="003C1D7A" w:rsidP="003C1D7A">
            <w:pPr>
              <w:rPr>
                <w:rFonts w:ascii="Verdana" w:hAnsi="Verdana" w:cs="Arial"/>
                <w:sz w:val="16"/>
                <w:szCs w:val="16"/>
              </w:rPr>
            </w:pPr>
            <w:r w:rsidRPr="005112E3">
              <w:rPr>
                <w:rFonts w:ascii="Verdana" w:hAnsi="Verdana" w:cs="Arial"/>
                <w:b/>
                <w:sz w:val="16"/>
                <w:szCs w:val="16"/>
              </w:rPr>
              <w:t>Effectiveness</w:t>
            </w:r>
            <w:r w:rsidRPr="005112E3">
              <w:rPr>
                <w:rFonts w:ascii="Verdana" w:hAnsi="Verdana" w:cs="Arial"/>
                <w:sz w:val="16"/>
                <w:szCs w:val="16"/>
              </w:rPr>
              <w:t>: the extent to which objectives are achieved and the relationship between intended and actual impacts.</w:t>
            </w:r>
          </w:p>
          <w:p w14:paraId="14C695A7" w14:textId="77777777" w:rsidR="003C1D7A" w:rsidRPr="005112E3" w:rsidRDefault="003C1D7A" w:rsidP="003C1D7A">
            <w:pPr>
              <w:rPr>
                <w:rFonts w:ascii="Verdana" w:hAnsi="Verdana" w:cs="Arial"/>
                <w:sz w:val="16"/>
                <w:szCs w:val="16"/>
              </w:rPr>
            </w:pPr>
          </w:p>
          <w:p w14:paraId="2167D514" w14:textId="77777777" w:rsidR="003C1D7A" w:rsidRPr="005112E3" w:rsidRDefault="003C1D7A" w:rsidP="003C1D7A">
            <w:pPr>
              <w:rPr>
                <w:rFonts w:ascii="Verdana" w:hAnsi="Verdana" w:cs="Arial"/>
                <w:sz w:val="16"/>
                <w:szCs w:val="16"/>
              </w:rPr>
            </w:pPr>
          </w:p>
          <w:p w14:paraId="27661697" w14:textId="77777777" w:rsidR="003C1D7A" w:rsidRPr="005112E3" w:rsidRDefault="003C1D7A" w:rsidP="003C1D7A">
            <w:pPr>
              <w:rPr>
                <w:rFonts w:ascii="Verdana" w:hAnsi="Verdana" w:cs="Arial"/>
                <w:sz w:val="16"/>
                <w:szCs w:val="16"/>
              </w:rPr>
            </w:pPr>
          </w:p>
          <w:p w14:paraId="127D6CC9" w14:textId="77777777" w:rsidR="003C1D7A" w:rsidRPr="005112E3" w:rsidRDefault="003C1D7A" w:rsidP="003C1D7A">
            <w:pPr>
              <w:rPr>
                <w:rFonts w:ascii="Verdana" w:hAnsi="Verdana" w:cs="Arial"/>
                <w:sz w:val="16"/>
                <w:szCs w:val="16"/>
              </w:rPr>
            </w:pPr>
          </w:p>
          <w:p w14:paraId="70C30AE5" w14:textId="77777777" w:rsidR="003C1D7A" w:rsidRPr="005112E3" w:rsidRDefault="003C1D7A" w:rsidP="003C1D7A">
            <w:pPr>
              <w:rPr>
                <w:rFonts w:ascii="Verdana" w:hAnsi="Verdana" w:cs="Arial"/>
                <w:sz w:val="16"/>
                <w:szCs w:val="16"/>
              </w:rPr>
            </w:pPr>
          </w:p>
        </w:tc>
        <w:tc>
          <w:tcPr>
            <w:tcW w:w="7342" w:type="dxa"/>
            <w:shd w:val="clear" w:color="auto" w:fill="FFFFFF" w:themeFill="background1"/>
          </w:tcPr>
          <w:p w14:paraId="41839D7F" w14:textId="77777777" w:rsidR="003C1D7A" w:rsidRPr="00B02749" w:rsidRDefault="003C1D7A" w:rsidP="003C1D7A">
            <w:pPr>
              <w:rPr>
                <w:rFonts w:ascii="Verdana" w:hAnsi="Verdana"/>
                <w:sz w:val="16"/>
                <w:szCs w:val="16"/>
              </w:rPr>
            </w:pPr>
            <w:r w:rsidRPr="00B02749">
              <w:rPr>
                <w:rFonts w:ascii="Verdana" w:hAnsi="Verdana"/>
                <w:sz w:val="16"/>
                <w:szCs w:val="16"/>
              </w:rPr>
              <w:t xml:space="preserve"> </w:t>
            </w:r>
          </w:p>
          <w:p w14:paraId="713DF790" w14:textId="77777777" w:rsidR="003C1D7A" w:rsidRPr="00B02749" w:rsidRDefault="003C1D7A" w:rsidP="003C1D7A">
            <w:pPr>
              <w:rPr>
                <w:rFonts w:ascii="Verdana" w:hAnsi="Verdana"/>
                <w:i/>
                <w:iCs/>
                <w:color w:val="E36C0A" w:themeColor="accent6" w:themeShade="BF"/>
                <w:sz w:val="16"/>
                <w:szCs w:val="16"/>
              </w:rPr>
            </w:pPr>
            <w:r w:rsidRPr="00B02749">
              <w:rPr>
                <w:rFonts w:ascii="Verdana" w:hAnsi="Verdana"/>
                <w:i/>
                <w:iCs/>
                <w:color w:val="E36C0A" w:themeColor="accent6" w:themeShade="BF"/>
                <w:sz w:val="16"/>
                <w:szCs w:val="16"/>
              </w:rPr>
              <w:t xml:space="preserve">(Paragraphs of how the organisations comply with the requirements) </w:t>
            </w:r>
          </w:p>
          <w:p w14:paraId="714F34C3" w14:textId="77777777" w:rsidR="003C1D7A" w:rsidRPr="00B02749" w:rsidRDefault="003C1D7A" w:rsidP="003C1D7A">
            <w:pPr>
              <w:rPr>
                <w:rFonts w:ascii="Verdana" w:hAnsi="Verdana"/>
                <w:sz w:val="16"/>
                <w:szCs w:val="16"/>
              </w:rPr>
            </w:pPr>
          </w:p>
          <w:p w14:paraId="06A81AF3" w14:textId="77777777" w:rsidR="003C1D7A" w:rsidRPr="00B02749" w:rsidRDefault="003C1D7A" w:rsidP="003C1D7A">
            <w:pPr>
              <w:rPr>
                <w:rFonts w:ascii="Verdana" w:hAnsi="Verdana"/>
                <w:sz w:val="16"/>
                <w:szCs w:val="16"/>
              </w:rPr>
            </w:pPr>
          </w:p>
          <w:p w14:paraId="7A1E845C" w14:textId="77777777" w:rsidR="003C1D7A" w:rsidRPr="00B02749" w:rsidRDefault="003C1D7A" w:rsidP="003C1D7A">
            <w:pPr>
              <w:pBdr>
                <w:top w:val="single" w:sz="4" w:space="1" w:color="auto"/>
              </w:pBdr>
              <w:shd w:val="clear" w:color="auto" w:fill="FFFFFF" w:themeFill="background1"/>
              <w:spacing w:after="200" w:line="276" w:lineRule="auto"/>
              <w:rPr>
                <w:rFonts w:ascii="Verdana" w:hAnsi="Verdana"/>
                <w:b/>
                <w:i/>
                <w:sz w:val="16"/>
                <w:szCs w:val="16"/>
              </w:rPr>
            </w:pPr>
            <w:r w:rsidRPr="00B02749">
              <w:rPr>
                <w:rFonts w:ascii="Verdana" w:hAnsi="Verdana"/>
                <w:b/>
                <w:i/>
                <w:sz w:val="16"/>
                <w:szCs w:val="16"/>
              </w:rPr>
              <w:t xml:space="preserve">Related evidence - </w:t>
            </w:r>
            <w:r w:rsidRPr="00B02749">
              <w:rPr>
                <w:rFonts w:ascii="Verdana" w:hAnsi="Verdana"/>
                <w:i/>
                <w:sz w:val="16"/>
                <w:szCs w:val="16"/>
              </w:rPr>
              <w:t>Reports, audits, polices/</w:t>
            </w:r>
            <w:proofErr w:type="gramStart"/>
            <w:r w:rsidRPr="00B02749">
              <w:rPr>
                <w:rFonts w:ascii="Verdana" w:hAnsi="Verdana"/>
                <w:i/>
                <w:sz w:val="16"/>
                <w:szCs w:val="16"/>
              </w:rPr>
              <w:t>strategies</w:t>
            </w:r>
            <w:proofErr w:type="gramEnd"/>
            <w:r w:rsidRPr="00B02749">
              <w:rPr>
                <w:rFonts w:ascii="Verdana" w:hAnsi="Verdana"/>
                <w:i/>
                <w:sz w:val="16"/>
                <w:szCs w:val="16"/>
              </w:rPr>
              <w:t xml:space="preserve"> and performance measures:</w:t>
            </w:r>
          </w:p>
          <w:p w14:paraId="7FC8C470" w14:textId="77777777" w:rsidR="003C1D7A" w:rsidRPr="003C1D7A" w:rsidRDefault="003C1D7A" w:rsidP="003C1D7A">
            <w:pPr>
              <w:pStyle w:val="ListParagraph"/>
              <w:numPr>
                <w:ilvl w:val="0"/>
                <w:numId w:val="43"/>
              </w:numPr>
              <w:rPr>
                <w:rFonts w:ascii="Verdana" w:hAnsi="Verdana"/>
                <w:bCs/>
                <w:color w:val="E36C0A" w:themeColor="accent6" w:themeShade="BF"/>
                <w:sz w:val="16"/>
                <w:szCs w:val="16"/>
              </w:rPr>
            </w:pPr>
            <w:r w:rsidRPr="003C1D7A">
              <w:rPr>
                <w:rFonts w:ascii="Verdana" w:hAnsi="Verdana"/>
                <w:bCs/>
                <w:color w:val="E36C0A" w:themeColor="accent6" w:themeShade="BF"/>
                <w:sz w:val="16"/>
                <w:szCs w:val="16"/>
              </w:rPr>
              <w:t>Details of reports, who and when approved</w:t>
            </w:r>
          </w:p>
          <w:p w14:paraId="5425092D" w14:textId="77777777" w:rsidR="003C1D7A" w:rsidRPr="003C1D7A" w:rsidRDefault="003C1D7A" w:rsidP="003C1D7A">
            <w:pPr>
              <w:pStyle w:val="ListParagraph"/>
              <w:numPr>
                <w:ilvl w:val="0"/>
                <w:numId w:val="43"/>
              </w:numPr>
              <w:rPr>
                <w:rFonts w:ascii="Verdana" w:hAnsi="Verdana"/>
                <w:bCs/>
                <w:color w:val="E36C0A" w:themeColor="accent6" w:themeShade="BF"/>
                <w:sz w:val="16"/>
                <w:szCs w:val="16"/>
              </w:rPr>
            </w:pPr>
            <w:r w:rsidRPr="003C1D7A">
              <w:rPr>
                <w:rFonts w:ascii="Verdana" w:hAnsi="Verdana"/>
                <w:bCs/>
                <w:color w:val="E36C0A" w:themeColor="accent6" w:themeShade="BF"/>
                <w:sz w:val="16"/>
                <w:szCs w:val="16"/>
              </w:rPr>
              <w:t xml:space="preserve">Details of any related policies and when approved </w:t>
            </w:r>
          </w:p>
          <w:p w14:paraId="2BDDF35E" w14:textId="77777777" w:rsidR="003C1D7A" w:rsidRPr="003C1D7A" w:rsidRDefault="003C1D7A" w:rsidP="003C1D7A">
            <w:pPr>
              <w:pStyle w:val="ListParagraph"/>
              <w:numPr>
                <w:ilvl w:val="0"/>
                <w:numId w:val="43"/>
              </w:numPr>
              <w:rPr>
                <w:rFonts w:ascii="Verdana" w:hAnsi="Verdana"/>
                <w:bCs/>
                <w:color w:val="E36C0A" w:themeColor="accent6" w:themeShade="BF"/>
                <w:sz w:val="16"/>
                <w:szCs w:val="16"/>
              </w:rPr>
            </w:pPr>
            <w:r w:rsidRPr="003C1D7A">
              <w:rPr>
                <w:rFonts w:ascii="Verdana" w:hAnsi="Verdana"/>
                <w:bCs/>
                <w:color w:val="E36C0A" w:themeColor="accent6" w:themeShade="BF"/>
                <w:sz w:val="16"/>
                <w:szCs w:val="16"/>
              </w:rPr>
              <w:t xml:space="preserve">Details of any audits </w:t>
            </w:r>
          </w:p>
          <w:p w14:paraId="7CCE25D3" w14:textId="77777777" w:rsidR="003C1D7A" w:rsidRPr="00B02749" w:rsidRDefault="003C1D7A" w:rsidP="003C1D7A">
            <w:pPr>
              <w:spacing w:line="276" w:lineRule="auto"/>
              <w:rPr>
                <w:rFonts w:ascii="Verdana" w:hAnsi="Verdana"/>
                <w:bCs/>
                <w:sz w:val="16"/>
                <w:szCs w:val="16"/>
              </w:rPr>
            </w:pPr>
          </w:p>
          <w:p w14:paraId="0B8E1733" w14:textId="77777777" w:rsidR="003C1D7A" w:rsidRPr="00B02749" w:rsidRDefault="003C1D7A" w:rsidP="003C1D7A">
            <w:pPr>
              <w:spacing w:line="276" w:lineRule="auto"/>
              <w:rPr>
                <w:rFonts w:ascii="Verdana" w:hAnsi="Verdana"/>
                <w:b/>
                <w:sz w:val="16"/>
                <w:szCs w:val="16"/>
              </w:rPr>
            </w:pPr>
          </w:p>
          <w:p w14:paraId="651CC9A1" w14:textId="77777777" w:rsidR="003C1D7A" w:rsidRPr="00B02749" w:rsidRDefault="003C1D7A" w:rsidP="003C1D7A">
            <w:pPr>
              <w:rPr>
                <w:rFonts w:ascii="Verdana" w:hAnsi="Verdana"/>
                <w:i/>
                <w:iCs/>
                <w:color w:val="E36C0A" w:themeColor="accent6" w:themeShade="BF"/>
                <w:sz w:val="16"/>
                <w:szCs w:val="16"/>
              </w:rPr>
            </w:pPr>
            <w:r w:rsidRPr="00B02749">
              <w:rPr>
                <w:rFonts w:ascii="Verdana" w:hAnsi="Verdana"/>
                <w:b/>
                <w:sz w:val="16"/>
                <w:szCs w:val="16"/>
              </w:rPr>
              <w:t xml:space="preserve">Action to take: </w:t>
            </w:r>
            <w:r w:rsidRPr="00B02749">
              <w:rPr>
                <w:rFonts w:ascii="Verdana" w:hAnsi="Verdana"/>
                <w:i/>
                <w:iCs/>
                <w:color w:val="E36C0A" w:themeColor="accent6" w:themeShade="BF"/>
                <w:sz w:val="16"/>
                <w:szCs w:val="16"/>
              </w:rPr>
              <w:t xml:space="preserve">(Details of any actions required to strengthen compliance) </w:t>
            </w:r>
          </w:p>
          <w:p w14:paraId="4C215599" w14:textId="77777777" w:rsidR="003C1D7A" w:rsidRPr="00AC2158" w:rsidRDefault="003C1D7A" w:rsidP="003C1D7A">
            <w:pPr>
              <w:rPr>
                <w:rFonts w:ascii="Verdana" w:hAnsi="Verdana"/>
                <w:sz w:val="16"/>
                <w:szCs w:val="16"/>
              </w:rPr>
            </w:pPr>
          </w:p>
        </w:tc>
      </w:tr>
      <w:tr w:rsidR="003C1D7A" w:rsidRPr="00A30154" w14:paraId="6D4C5C47" w14:textId="77777777" w:rsidTr="003C1D7A">
        <w:trPr>
          <w:trHeight w:val="1382"/>
          <w:tblCellSpacing w:w="11" w:type="dxa"/>
        </w:trPr>
        <w:tc>
          <w:tcPr>
            <w:tcW w:w="748" w:type="dxa"/>
            <w:shd w:val="clear" w:color="auto" w:fill="F2F2F2" w:themeFill="background1" w:themeFillShade="F2"/>
          </w:tcPr>
          <w:p w14:paraId="13D805CE"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9)</w:t>
            </w:r>
          </w:p>
        </w:tc>
        <w:tc>
          <w:tcPr>
            <w:tcW w:w="7130" w:type="dxa"/>
            <w:shd w:val="clear" w:color="auto" w:fill="F2F2F2" w:themeFill="background1" w:themeFillShade="F2"/>
          </w:tcPr>
          <w:p w14:paraId="6163730B" w14:textId="77777777" w:rsidR="003C1D7A" w:rsidRPr="00760075" w:rsidRDefault="003C1D7A" w:rsidP="003C1D7A">
            <w:pPr>
              <w:rPr>
                <w:rFonts w:ascii="Verdana" w:hAnsi="Verdana" w:cs="Arial"/>
                <w:sz w:val="16"/>
                <w:szCs w:val="16"/>
              </w:rPr>
            </w:pPr>
            <w:r w:rsidRPr="00760075">
              <w:rPr>
                <w:rFonts w:ascii="Verdana" w:hAnsi="Verdana" w:cs="Arial"/>
                <w:sz w:val="16"/>
                <w:szCs w:val="16"/>
              </w:rPr>
              <w:t xml:space="preserve">Registered providers must ensure that they achieve optimum economy, </w:t>
            </w:r>
            <w:proofErr w:type="gramStart"/>
            <w:r w:rsidRPr="00760075">
              <w:rPr>
                <w:rFonts w:ascii="Verdana" w:hAnsi="Verdana" w:cs="Arial"/>
                <w:sz w:val="16"/>
                <w:szCs w:val="16"/>
              </w:rPr>
              <w:t>efficiency</w:t>
            </w:r>
            <w:proofErr w:type="gramEnd"/>
            <w:r w:rsidRPr="00760075">
              <w:rPr>
                <w:rFonts w:ascii="Verdana" w:hAnsi="Verdana" w:cs="Arial"/>
                <w:sz w:val="16"/>
                <w:szCs w:val="16"/>
              </w:rPr>
              <w:t xml:space="preserve"> and effectiveness in delivery of their strategic objectives recognising the need to balance factors such as available resources, risks and other duties the provider must comply with (such as health and safety requirements) to ensure long-term financial viability.</w:t>
            </w:r>
          </w:p>
        </w:tc>
        <w:tc>
          <w:tcPr>
            <w:tcW w:w="7342" w:type="dxa"/>
          </w:tcPr>
          <w:p w14:paraId="05822830" w14:textId="7E17CC17" w:rsidR="003C1D7A" w:rsidRPr="003C1D7A" w:rsidRDefault="003C1D7A" w:rsidP="003C1D7A">
            <w:pPr>
              <w:pStyle w:val="CommentText"/>
              <w:rPr>
                <w:rFonts w:ascii="Verdana" w:hAnsi="Verdana"/>
                <w:color w:val="E36C0A" w:themeColor="accent6" w:themeShade="BF"/>
                <w:sz w:val="16"/>
                <w:szCs w:val="16"/>
              </w:rPr>
            </w:pPr>
            <w:r w:rsidRPr="003C1D7A">
              <w:rPr>
                <w:rFonts w:ascii="Verdana" w:hAnsi="Verdana"/>
                <w:color w:val="E36C0A" w:themeColor="accent6" w:themeShade="BF"/>
                <w:sz w:val="16"/>
                <w:szCs w:val="16"/>
              </w:rPr>
              <w:t xml:space="preserve">As above </w:t>
            </w:r>
          </w:p>
        </w:tc>
      </w:tr>
      <w:tr w:rsidR="003C1D7A" w:rsidRPr="00A30154" w14:paraId="55769C68" w14:textId="77777777" w:rsidTr="003C1D7A">
        <w:trPr>
          <w:trHeight w:val="850"/>
          <w:tblCellSpacing w:w="11" w:type="dxa"/>
        </w:trPr>
        <w:tc>
          <w:tcPr>
            <w:tcW w:w="748" w:type="dxa"/>
            <w:shd w:val="clear" w:color="auto" w:fill="F2F2F2" w:themeFill="background1" w:themeFillShade="F2"/>
          </w:tcPr>
          <w:p w14:paraId="257CFB64"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10)</w:t>
            </w:r>
          </w:p>
        </w:tc>
        <w:tc>
          <w:tcPr>
            <w:tcW w:w="7130" w:type="dxa"/>
            <w:shd w:val="clear" w:color="auto" w:fill="F2F2F2" w:themeFill="background1" w:themeFillShade="F2"/>
          </w:tcPr>
          <w:p w14:paraId="46C4FEE0" w14:textId="77777777" w:rsidR="003C1D7A" w:rsidRPr="00760075" w:rsidRDefault="003C1D7A" w:rsidP="003C1D7A">
            <w:pPr>
              <w:rPr>
                <w:rFonts w:ascii="Verdana" w:hAnsi="Verdana" w:cs="Arial"/>
                <w:sz w:val="16"/>
                <w:szCs w:val="16"/>
              </w:rPr>
            </w:pPr>
            <w:r w:rsidRPr="00760075">
              <w:rPr>
                <w:rFonts w:ascii="Verdana" w:hAnsi="Verdana" w:cs="Arial"/>
                <w:sz w:val="16"/>
                <w:szCs w:val="16"/>
              </w:rPr>
              <w:t xml:space="preserve">In terms of deriving “optimal benefit” from resources and assets, registered providers should take a measured and proportionate approach, </w:t>
            </w:r>
            <w:proofErr w:type="gramStart"/>
            <w:r w:rsidRPr="00760075">
              <w:rPr>
                <w:rFonts w:ascii="Verdana" w:hAnsi="Verdana" w:cs="Arial"/>
                <w:sz w:val="16"/>
                <w:szCs w:val="16"/>
              </w:rPr>
              <w:t>taking into account</w:t>
            </w:r>
            <w:proofErr w:type="gramEnd"/>
            <w:r w:rsidRPr="00760075">
              <w:rPr>
                <w:rFonts w:ascii="Verdana" w:hAnsi="Verdana" w:cs="Arial"/>
                <w:sz w:val="16"/>
                <w:szCs w:val="16"/>
              </w:rPr>
              <w:t xml:space="preserve"> the requirements of all the standards, in particular the Governance and Financial Viability Standard.</w:t>
            </w:r>
          </w:p>
        </w:tc>
        <w:tc>
          <w:tcPr>
            <w:tcW w:w="7342" w:type="dxa"/>
          </w:tcPr>
          <w:p w14:paraId="5E509BD1" w14:textId="03A3F6A5" w:rsidR="003C1D7A" w:rsidRPr="00A30154" w:rsidRDefault="003C1D7A" w:rsidP="003C1D7A">
            <w:pPr>
              <w:rPr>
                <w:rFonts w:ascii="Verdana" w:hAnsi="Verdana"/>
                <w:sz w:val="16"/>
                <w:szCs w:val="16"/>
              </w:rPr>
            </w:pPr>
            <w:r w:rsidRPr="003C1D7A">
              <w:rPr>
                <w:rFonts w:ascii="Verdana" w:hAnsi="Verdana"/>
                <w:color w:val="E36C0A" w:themeColor="accent6" w:themeShade="BF"/>
                <w:sz w:val="16"/>
                <w:szCs w:val="16"/>
              </w:rPr>
              <w:t xml:space="preserve">As above </w:t>
            </w:r>
          </w:p>
        </w:tc>
      </w:tr>
      <w:tr w:rsidR="003C1D7A" w:rsidRPr="00A30154" w14:paraId="1F5D4ABD" w14:textId="77777777" w:rsidTr="003C1D7A">
        <w:trPr>
          <w:trHeight w:val="598"/>
          <w:tblCellSpacing w:w="11" w:type="dxa"/>
        </w:trPr>
        <w:tc>
          <w:tcPr>
            <w:tcW w:w="748" w:type="dxa"/>
            <w:shd w:val="clear" w:color="auto" w:fill="F2F2F2" w:themeFill="background1" w:themeFillShade="F2"/>
          </w:tcPr>
          <w:p w14:paraId="425B28CF"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11)</w:t>
            </w:r>
          </w:p>
        </w:tc>
        <w:tc>
          <w:tcPr>
            <w:tcW w:w="7130" w:type="dxa"/>
            <w:shd w:val="clear" w:color="auto" w:fill="F2F2F2" w:themeFill="background1" w:themeFillShade="F2"/>
          </w:tcPr>
          <w:p w14:paraId="3E395DAC" w14:textId="77777777" w:rsidR="003C1D7A" w:rsidRPr="00760075" w:rsidRDefault="003C1D7A" w:rsidP="003C1D7A">
            <w:pPr>
              <w:rPr>
                <w:rFonts w:ascii="Verdana" w:hAnsi="Verdana" w:cs="Arial"/>
                <w:sz w:val="16"/>
                <w:szCs w:val="16"/>
              </w:rPr>
            </w:pPr>
            <w:r w:rsidRPr="00760075">
              <w:rPr>
                <w:rFonts w:ascii="Verdana" w:hAnsi="Verdana" w:cs="Arial"/>
                <w:sz w:val="16"/>
                <w:szCs w:val="16"/>
              </w:rPr>
              <w:t>Further detail on expectations for delivering optimal benefit can be found in paragraph 15 of the code.</w:t>
            </w:r>
          </w:p>
          <w:p w14:paraId="39CB6C79" w14:textId="77777777" w:rsidR="003C1D7A" w:rsidRPr="00260C01" w:rsidRDefault="003C1D7A" w:rsidP="003C1D7A">
            <w:pPr>
              <w:rPr>
                <w:rFonts w:ascii="Verdana" w:hAnsi="Verdana" w:cs="Arial"/>
                <w:sz w:val="8"/>
                <w:szCs w:val="16"/>
              </w:rPr>
            </w:pPr>
          </w:p>
        </w:tc>
        <w:tc>
          <w:tcPr>
            <w:tcW w:w="7342" w:type="dxa"/>
          </w:tcPr>
          <w:p w14:paraId="2EC6E573" w14:textId="272B6066" w:rsidR="003C1D7A" w:rsidRPr="00A30154" w:rsidRDefault="003C1D7A" w:rsidP="003C1D7A">
            <w:pPr>
              <w:rPr>
                <w:rFonts w:ascii="Verdana" w:hAnsi="Verdana"/>
                <w:sz w:val="16"/>
                <w:szCs w:val="16"/>
              </w:rPr>
            </w:pPr>
            <w:r w:rsidRPr="003C1D7A">
              <w:rPr>
                <w:rFonts w:ascii="Verdana" w:hAnsi="Verdana"/>
                <w:color w:val="E36C0A" w:themeColor="accent6" w:themeShade="BF"/>
                <w:sz w:val="16"/>
                <w:szCs w:val="16"/>
              </w:rPr>
              <w:t xml:space="preserve">As above </w:t>
            </w:r>
          </w:p>
        </w:tc>
      </w:tr>
      <w:tr w:rsidR="003C1D7A" w:rsidRPr="00A30154" w14:paraId="4BFD1799" w14:textId="77777777" w:rsidTr="003C1D7A">
        <w:trPr>
          <w:trHeight w:val="252"/>
          <w:tblCellSpacing w:w="11" w:type="dxa"/>
        </w:trPr>
        <w:tc>
          <w:tcPr>
            <w:tcW w:w="748" w:type="dxa"/>
            <w:shd w:val="clear" w:color="auto" w:fill="F2F2F2" w:themeFill="background1" w:themeFillShade="F2"/>
          </w:tcPr>
          <w:p w14:paraId="590905F5"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12)</w:t>
            </w:r>
          </w:p>
        </w:tc>
        <w:tc>
          <w:tcPr>
            <w:tcW w:w="7130" w:type="dxa"/>
            <w:shd w:val="clear" w:color="auto" w:fill="F2F2F2" w:themeFill="background1" w:themeFillShade="F2"/>
          </w:tcPr>
          <w:p w14:paraId="4A3664EA" w14:textId="77777777" w:rsidR="003C1D7A" w:rsidRPr="00760075" w:rsidRDefault="003C1D7A" w:rsidP="003C1D7A">
            <w:pPr>
              <w:rPr>
                <w:rFonts w:ascii="Verdana" w:hAnsi="Verdana" w:cs="Arial"/>
                <w:sz w:val="16"/>
                <w:szCs w:val="16"/>
              </w:rPr>
            </w:pPr>
            <w:r w:rsidRPr="00760075">
              <w:rPr>
                <w:rFonts w:ascii="Verdana" w:hAnsi="Verdana" w:cs="Arial"/>
                <w:sz w:val="16"/>
                <w:szCs w:val="16"/>
              </w:rPr>
              <w:t xml:space="preserve">Registered providers must ensure that they have sought to maximise the financial return from their assets and activities in so far as that is consistent with achievement of the organisation’s wider organisational purpose and strategic objectives. Social housing businesses will generally receive a lower than market return on social housing assets as renting properties below the market rate is an integral part of their social purpose. However, where a provider has had to accept </w:t>
            </w:r>
            <w:r w:rsidRPr="00760075">
              <w:rPr>
                <w:rFonts w:ascii="Verdana" w:hAnsi="Verdana" w:cs="Arial"/>
                <w:sz w:val="16"/>
                <w:szCs w:val="16"/>
              </w:rPr>
              <w:lastRenderedPageBreak/>
              <w:t>lower financial returns in pursuit of their purpose, the rationale for this should be clearly articulated and justified.</w:t>
            </w:r>
          </w:p>
        </w:tc>
        <w:tc>
          <w:tcPr>
            <w:tcW w:w="7342" w:type="dxa"/>
          </w:tcPr>
          <w:p w14:paraId="616A7450" w14:textId="180F052E" w:rsidR="003C1D7A" w:rsidRPr="00A30154" w:rsidRDefault="003C1D7A" w:rsidP="003C1D7A">
            <w:pPr>
              <w:rPr>
                <w:rFonts w:ascii="Verdana" w:hAnsi="Verdana"/>
                <w:sz w:val="16"/>
                <w:szCs w:val="16"/>
              </w:rPr>
            </w:pPr>
            <w:r w:rsidRPr="003C1D7A">
              <w:rPr>
                <w:rFonts w:ascii="Verdana" w:hAnsi="Verdana"/>
                <w:color w:val="E36C0A" w:themeColor="accent6" w:themeShade="BF"/>
                <w:sz w:val="16"/>
                <w:szCs w:val="16"/>
              </w:rPr>
              <w:lastRenderedPageBreak/>
              <w:t xml:space="preserve">As above </w:t>
            </w:r>
          </w:p>
        </w:tc>
      </w:tr>
      <w:tr w:rsidR="003C1D7A" w:rsidRPr="00A30154" w14:paraId="36BA1EBB" w14:textId="77777777" w:rsidTr="003C1D7A">
        <w:trPr>
          <w:trHeight w:val="493"/>
          <w:tblCellSpacing w:w="11" w:type="dxa"/>
        </w:trPr>
        <w:tc>
          <w:tcPr>
            <w:tcW w:w="748" w:type="dxa"/>
            <w:shd w:val="clear" w:color="auto" w:fill="F2F2F2" w:themeFill="background1" w:themeFillShade="F2"/>
          </w:tcPr>
          <w:p w14:paraId="477F300F"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13)</w:t>
            </w:r>
          </w:p>
        </w:tc>
        <w:tc>
          <w:tcPr>
            <w:tcW w:w="7130" w:type="dxa"/>
            <w:shd w:val="clear" w:color="auto" w:fill="F2F2F2" w:themeFill="background1" w:themeFillShade="F2"/>
          </w:tcPr>
          <w:p w14:paraId="7563835E" w14:textId="77777777" w:rsidR="003C1D7A" w:rsidRPr="00760075" w:rsidRDefault="003C1D7A" w:rsidP="003C1D7A">
            <w:pPr>
              <w:rPr>
                <w:rFonts w:ascii="Verdana" w:hAnsi="Verdana" w:cs="Arial"/>
                <w:sz w:val="16"/>
                <w:szCs w:val="16"/>
              </w:rPr>
            </w:pPr>
            <w:r w:rsidRPr="00760075">
              <w:rPr>
                <w:rFonts w:ascii="Verdana" w:hAnsi="Verdana" w:cs="Arial"/>
                <w:sz w:val="16"/>
                <w:szCs w:val="16"/>
              </w:rPr>
              <w:t xml:space="preserve">Registered providers must also be able to demonstrate that they have a full understanding of the return they generate from their assets compared to the costs of maintaining those assets. Registered providers should be able to demonstrate how this return varies across their asset base, </w:t>
            </w:r>
            <w:proofErr w:type="gramStart"/>
            <w:r w:rsidRPr="00760075">
              <w:rPr>
                <w:rFonts w:ascii="Verdana" w:hAnsi="Verdana" w:cs="Arial"/>
                <w:sz w:val="16"/>
                <w:szCs w:val="16"/>
              </w:rPr>
              <w:t>e.g.</w:t>
            </w:r>
            <w:proofErr w:type="gramEnd"/>
            <w:r w:rsidRPr="00760075">
              <w:rPr>
                <w:rFonts w:ascii="Verdana" w:hAnsi="Verdana" w:cs="Arial"/>
                <w:sz w:val="16"/>
                <w:szCs w:val="16"/>
              </w:rPr>
              <w:t xml:space="preserve"> according to stock type or geographical location. Where assets are not apparently achieving the maximum expected return, registered providers should be able to articulate the rationale for continued support of the asset. This may be, for example, that historical covenants are in place, which restrict the sale of properties even where there are high maintenance costs.</w:t>
            </w:r>
          </w:p>
          <w:p w14:paraId="05B397C6" w14:textId="77777777" w:rsidR="003C1D7A" w:rsidRPr="00760075" w:rsidRDefault="003C1D7A" w:rsidP="003C1D7A">
            <w:pPr>
              <w:rPr>
                <w:rFonts w:ascii="Verdana" w:hAnsi="Verdana" w:cs="Arial"/>
                <w:sz w:val="16"/>
                <w:szCs w:val="16"/>
              </w:rPr>
            </w:pPr>
          </w:p>
        </w:tc>
        <w:tc>
          <w:tcPr>
            <w:tcW w:w="7342" w:type="dxa"/>
          </w:tcPr>
          <w:p w14:paraId="5DEF0C5C" w14:textId="3EE91981" w:rsidR="003C1D7A" w:rsidRPr="00A30154" w:rsidRDefault="003C1D7A" w:rsidP="003C1D7A">
            <w:pPr>
              <w:rPr>
                <w:rFonts w:ascii="Verdana" w:hAnsi="Verdana"/>
                <w:sz w:val="16"/>
                <w:szCs w:val="16"/>
              </w:rPr>
            </w:pPr>
            <w:r w:rsidRPr="003C1D7A">
              <w:rPr>
                <w:rFonts w:ascii="Verdana" w:hAnsi="Verdana"/>
                <w:color w:val="E36C0A" w:themeColor="accent6" w:themeShade="BF"/>
                <w:sz w:val="16"/>
                <w:szCs w:val="16"/>
              </w:rPr>
              <w:t xml:space="preserve">As above </w:t>
            </w:r>
          </w:p>
        </w:tc>
      </w:tr>
      <w:tr w:rsidR="003C1D7A" w:rsidRPr="00A30154" w14:paraId="133DA6AA" w14:textId="77777777" w:rsidTr="005032E1">
        <w:trPr>
          <w:trHeight w:val="850"/>
          <w:tblCellSpacing w:w="11" w:type="dxa"/>
        </w:trPr>
        <w:tc>
          <w:tcPr>
            <w:tcW w:w="748" w:type="dxa"/>
            <w:shd w:val="clear" w:color="auto" w:fill="F2F2F2" w:themeFill="background1" w:themeFillShade="F2"/>
          </w:tcPr>
          <w:p w14:paraId="1D39C8B3" w14:textId="77777777" w:rsidR="003C1D7A" w:rsidRPr="00A30154" w:rsidRDefault="003C1D7A" w:rsidP="003C1D7A">
            <w:pPr>
              <w:jc w:val="center"/>
              <w:rPr>
                <w:rFonts w:ascii="Verdana" w:hAnsi="Verdana" w:cs="Arial"/>
                <w:b/>
                <w:sz w:val="16"/>
                <w:szCs w:val="16"/>
              </w:rPr>
            </w:pPr>
          </w:p>
          <w:p w14:paraId="4CD5298F" w14:textId="77777777" w:rsidR="003C1D7A" w:rsidRPr="00A30154" w:rsidRDefault="003C1D7A" w:rsidP="003C1D7A">
            <w:pPr>
              <w:jc w:val="center"/>
              <w:rPr>
                <w:rFonts w:ascii="Verdana" w:hAnsi="Verdana" w:cs="Arial"/>
                <w:b/>
                <w:sz w:val="16"/>
                <w:szCs w:val="16"/>
              </w:rPr>
            </w:pPr>
            <w:r w:rsidRPr="00A30154">
              <w:rPr>
                <w:rFonts w:ascii="Verdana" w:hAnsi="Verdana" w:cs="Arial"/>
                <w:b/>
                <w:sz w:val="16"/>
                <w:szCs w:val="16"/>
              </w:rPr>
              <w:t>2.1a</w:t>
            </w:r>
          </w:p>
        </w:tc>
        <w:tc>
          <w:tcPr>
            <w:tcW w:w="14494" w:type="dxa"/>
            <w:gridSpan w:val="2"/>
            <w:shd w:val="clear" w:color="auto" w:fill="F2F2F2" w:themeFill="background1" w:themeFillShade="F2"/>
          </w:tcPr>
          <w:p w14:paraId="28A82513" w14:textId="77777777" w:rsidR="003C1D7A" w:rsidRPr="00A30154" w:rsidRDefault="003C1D7A" w:rsidP="003C1D7A">
            <w:pPr>
              <w:autoSpaceDE w:val="0"/>
              <w:autoSpaceDN w:val="0"/>
              <w:adjustRightInd w:val="0"/>
              <w:rPr>
                <w:rFonts w:ascii="Verdana" w:hAnsi="Verdana" w:cs="Arial"/>
                <w:b/>
                <w:sz w:val="16"/>
                <w:szCs w:val="16"/>
                <w:lang w:eastAsia="en-GB"/>
              </w:rPr>
            </w:pPr>
          </w:p>
          <w:p w14:paraId="55A30060" w14:textId="77777777" w:rsidR="003C1D7A" w:rsidRPr="00A30154" w:rsidRDefault="003C1D7A" w:rsidP="003C1D7A">
            <w:pPr>
              <w:autoSpaceDE w:val="0"/>
              <w:autoSpaceDN w:val="0"/>
              <w:adjustRightInd w:val="0"/>
              <w:rPr>
                <w:rFonts w:ascii="Verdana" w:hAnsi="Verdana" w:cs="Arial"/>
                <w:b/>
                <w:sz w:val="16"/>
                <w:szCs w:val="16"/>
                <w:lang w:eastAsia="en-GB"/>
              </w:rPr>
            </w:pPr>
            <w:r w:rsidRPr="00A30154">
              <w:rPr>
                <w:rFonts w:ascii="Verdana" w:hAnsi="Verdana" w:cs="Arial"/>
                <w:b/>
                <w:sz w:val="16"/>
                <w:szCs w:val="16"/>
                <w:lang w:eastAsia="en-GB"/>
              </w:rPr>
              <w:t>Registered providers must demonstrate a robust approach to achieving value for money – this must include a robust approach to decision making and a rigorous appraisal of potential options for improving performance</w:t>
            </w:r>
          </w:p>
          <w:p w14:paraId="69523EBC" w14:textId="77777777" w:rsidR="003C1D7A" w:rsidRPr="00A30154" w:rsidRDefault="003C1D7A" w:rsidP="003C1D7A">
            <w:pPr>
              <w:rPr>
                <w:rFonts w:ascii="Verdana" w:hAnsi="Verdana"/>
                <w:b/>
                <w:sz w:val="16"/>
                <w:szCs w:val="16"/>
              </w:rPr>
            </w:pPr>
          </w:p>
        </w:tc>
      </w:tr>
      <w:tr w:rsidR="003C1D7A" w:rsidRPr="00A30154" w14:paraId="27AE840D" w14:textId="77777777" w:rsidTr="003C1D7A">
        <w:trPr>
          <w:trHeight w:val="352"/>
          <w:tblCellSpacing w:w="11" w:type="dxa"/>
        </w:trPr>
        <w:tc>
          <w:tcPr>
            <w:tcW w:w="748" w:type="dxa"/>
            <w:shd w:val="clear" w:color="auto" w:fill="F2F2F2" w:themeFill="background1" w:themeFillShade="F2"/>
          </w:tcPr>
          <w:p w14:paraId="3F2F7E9B"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14)</w:t>
            </w:r>
          </w:p>
        </w:tc>
        <w:tc>
          <w:tcPr>
            <w:tcW w:w="7130" w:type="dxa"/>
            <w:shd w:val="clear" w:color="auto" w:fill="F2F2F2" w:themeFill="background1" w:themeFillShade="F2"/>
          </w:tcPr>
          <w:p w14:paraId="1C18D8A7" w14:textId="77777777" w:rsidR="003C1D7A" w:rsidRPr="00760075" w:rsidRDefault="003C1D7A" w:rsidP="003C1D7A">
            <w:pPr>
              <w:rPr>
                <w:rFonts w:ascii="Verdana" w:hAnsi="Verdana" w:cs="Arial"/>
                <w:sz w:val="16"/>
                <w:szCs w:val="16"/>
              </w:rPr>
            </w:pPr>
            <w:r w:rsidRPr="00760075">
              <w:rPr>
                <w:rFonts w:ascii="Verdana" w:hAnsi="Verdana" w:cs="Arial"/>
                <w:sz w:val="16"/>
                <w:szCs w:val="16"/>
              </w:rPr>
              <w:t xml:space="preserve">Registered providers must ensure their approach to the management of resources and assets is strategic, </w:t>
            </w:r>
            <w:proofErr w:type="gramStart"/>
            <w:r w:rsidRPr="00760075">
              <w:rPr>
                <w:rFonts w:ascii="Verdana" w:hAnsi="Verdana" w:cs="Arial"/>
                <w:sz w:val="16"/>
                <w:szCs w:val="16"/>
              </w:rPr>
              <w:t>comprehensive</w:t>
            </w:r>
            <w:proofErr w:type="gramEnd"/>
            <w:r w:rsidRPr="00760075">
              <w:rPr>
                <w:rFonts w:ascii="Verdana" w:hAnsi="Verdana" w:cs="Arial"/>
                <w:sz w:val="16"/>
                <w:szCs w:val="16"/>
              </w:rPr>
              <w:t xml:space="preserve"> and clearly linked to achieving strategic objectives. This includes assurance around the robustness of decision making in this area.</w:t>
            </w:r>
          </w:p>
          <w:p w14:paraId="003C3811" w14:textId="77777777" w:rsidR="003C1D7A" w:rsidRPr="00760075" w:rsidRDefault="003C1D7A" w:rsidP="003C1D7A">
            <w:pPr>
              <w:ind w:left="720"/>
              <w:rPr>
                <w:rFonts w:ascii="Verdana" w:hAnsi="Verdana" w:cs="Arial"/>
                <w:sz w:val="16"/>
                <w:szCs w:val="16"/>
              </w:rPr>
            </w:pPr>
          </w:p>
          <w:p w14:paraId="213F9CE6" w14:textId="77777777" w:rsidR="003C1D7A" w:rsidRPr="00760075" w:rsidRDefault="003C1D7A" w:rsidP="003C1D7A">
            <w:pPr>
              <w:rPr>
                <w:rFonts w:ascii="Verdana" w:hAnsi="Verdana" w:cs="Arial"/>
                <w:sz w:val="16"/>
                <w:szCs w:val="16"/>
              </w:rPr>
            </w:pPr>
          </w:p>
          <w:p w14:paraId="2072EA4A" w14:textId="77777777" w:rsidR="003C1D7A" w:rsidRPr="00760075" w:rsidRDefault="003C1D7A" w:rsidP="003C1D7A">
            <w:pPr>
              <w:rPr>
                <w:rFonts w:ascii="Verdana" w:hAnsi="Verdana" w:cs="Arial"/>
                <w:sz w:val="16"/>
                <w:szCs w:val="16"/>
              </w:rPr>
            </w:pPr>
          </w:p>
          <w:p w14:paraId="7392ECBA" w14:textId="77777777" w:rsidR="003C1D7A" w:rsidRPr="00760075" w:rsidRDefault="003C1D7A" w:rsidP="003C1D7A">
            <w:pPr>
              <w:rPr>
                <w:rFonts w:ascii="Verdana" w:hAnsi="Verdana" w:cs="Arial"/>
                <w:sz w:val="16"/>
                <w:szCs w:val="16"/>
              </w:rPr>
            </w:pPr>
          </w:p>
          <w:p w14:paraId="66907F39" w14:textId="77777777" w:rsidR="003C1D7A" w:rsidRPr="00760075" w:rsidRDefault="003C1D7A" w:rsidP="003C1D7A">
            <w:pPr>
              <w:ind w:left="360"/>
              <w:rPr>
                <w:rFonts w:ascii="Verdana" w:hAnsi="Verdana" w:cs="Arial"/>
                <w:sz w:val="16"/>
                <w:szCs w:val="16"/>
              </w:rPr>
            </w:pPr>
          </w:p>
          <w:p w14:paraId="506D9E06" w14:textId="77777777" w:rsidR="003C1D7A" w:rsidRPr="00760075" w:rsidRDefault="003C1D7A" w:rsidP="003C1D7A">
            <w:pPr>
              <w:rPr>
                <w:rFonts w:ascii="Verdana" w:hAnsi="Verdana" w:cs="Arial"/>
                <w:sz w:val="16"/>
                <w:szCs w:val="16"/>
              </w:rPr>
            </w:pPr>
          </w:p>
          <w:p w14:paraId="185430BC" w14:textId="77777777" w:rsidR="003C1D7A" w:rsidRPr="00760075" w:rsidRDefault="003C1D7A" w:rsidP="003C1D7A">
            <w:pPr>
              <w:rPr>
                <w:rFonts w:ascii="Verdana" w:hAnsi="Verdana" w:cs="Arial"/>
                <w:sz w:val="16"/>
                <w:szCs w:val="16"/>
              </w:rPr>
            </w:pPr>
          </w:p>
          <w:p w14:paraId="70DE6CFE" w14:textId="77777777" w:rsidR="003C1D7A" w:rsidRPr="00760075" w:rsidRDefault="003C1D7A" w:rsidP="003C1D7A">
            <w:pPr>
              <w:rPr>
                <w:rFonts w:ascii="Verdana" w:hAnsi="Verdana" w:cs="Arial"/>
                <w:sz w:val="16"/>
                <w:szCs w:val="16"/>
              </w:rPr>
            </w:pPr>
          </w:p>
        </w:tc>
        <w:tc>
          <w:tcPr>
            <w:tcW w:w="7342" w:type="dxa"/>
          </w:tcPr>
          <w:p w14:paraId="7FF2FBB0" w14:textId="35511C54" w:rsidR="003C1D7A" w:rsidRPr="003C1D7A" w:rsidRDefault="003C1D7A" w:rsidP="003C1D7A">
            <w:pPr>
              <w:rPr>
                <w:rFonts w:ascii="Verdana" w:hAnsi="Verdana"/>
                <w:b/>
                <w:sz w:val="16"/>
                <w:szCs w:val="16"/>
              </w:rPr>
            </w:pPr>
            <w:r w:rsidRPr="003C1D7A">
              <w:rPr>
                <w:rFonts w:ascii="Verdana" w:hAnsi="Verdana"/>
                <w:color w:val="E36C0A" w:themeColor="accent6" w:themeShade="BF"/>
                <w:sz w:val="16"/>
                <w:szCs w:val="16"/>
              </w:rPr>
              <w:t xml:space="preserve">As above </w:t>
            </w:r>
          </w:p>
        </w:tc>
      </w:tr>
      <w:tr w:rsidR="003C1D7A" w:rsidRPr="00A30154" w14:paraId="6E1EE618" w14:textId="77777777" w:rsidTr="003C1D7A">
        <w:trPr>
          <w:trHeight w:val="1344"/>
          <w:tblCellSpacing w:w="11" w:type="dxa"/>
        </w:trPr>
        <w:tc>
          <w:tcPr>
            <w:tcW w:w="748" w:type="dxa"/>
            <w:shd w:val="clear" w:color="auto" w:fill="F2F2F2" w:themeFill="background1" w:themeFillShade="F2"/>
          </w:tcPr>
          <w:p w14:paraId="6D0CBCF6"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15)</w:t>
            </w:r>
          </w:p>
        </w:tc>
        <w:tc>
          <w:tcPr>
            <w:tcW w:w="7130" w:type="dxa"/>
            <w:shd w:val="clear" w:color="auto" w:fill="F2F2F2" w:themeFill="background1" w:themeFillShade="F2"/>
          </w:tcPr>
          <w:p w14:paraId="1CBA2C32" w14:textId="77777777" w:rsidR="003C1D7A" w:rsidRPr="00760075" w:rsidRDefault="003C1D7A" w:rsidP="003C1D7A">
            <w:pPr>
              <w:rPr>
                <w:rFonts w:ascii="Verdana" w:hAnsi="Verdana" w:cs="Arial"/>
                <w:sz w:val="16"/>
                <w:szCs w:val="16"/>
              </w:rPr>
            </w:pPr>
            <w:r w:rsidRPr="00760075">
              <w:rPr>
                <w:rFonts w:ascii="Verdana" w:hAnsi="Verdana" w:cs="Arial"/>
                <w:sz w:val="16"/>
                <w:szCs w:val="16"/>
              </w:rPr>
              <w:t xml:space="preserve">Registered providers must ensure they meet their organisational purposes and objectives (including, where relevant, charitable objectives) when considering the use of resources or assets. </w:t>
            </w:r>
          </w:p>
          <w:p w14:paraId="2D3E3356" w14:textId="77777777" w:rsidR="003C1D7A" w:rsidRPr="00760075" w:rsidRDefault="003C1D7A" w:rsidP="003C1D7A">
            <w:pPr>
              <w:rPr>
                <w:rFonts w:ascii="Verdana" w:hAnsi="Verdana" w:cs="Arial"/>
                <w:sz w:val="16"/>
                <w:szCs w:val="16"/>
              </w:rPr>
            </w:pPr>
          </w:p>
          <w:p w14:paraId="4644346C" w14:textId="77777777" w:rsidR="003C1D7A" w:rsidRPr="00760075" w:rsidRDefault="003C1D7A" w:rsidP="003C1D7A">
            <w:pPr>
              <w:rPr>
                <w:rFonts w:ascii="Verdana" w:hAnsi="Verdana" w:cs="Arial"/>
                <w:sz w:val="16"/>
                <w:szCs w:val="16"/>
              </w:rPr>
            </w:pPr>
            <w:r w:rsidRPr="00760075">
              <w:rPr>
                <w:rFonts w:ascii="Verdana" w:hAnsi="Verdana" w:cs="Arial"/>
                <w:sz w:val="16"/>
                <w:szCs w:val="16"/>
              </w:rPr>
              <w:t xml:space="preserve">Resources and assets should be considered in the widest sense, for example it must not be limited to use of physical assets and </w:t>
            </w:r>
            <w:proofErr w:type="gramStart"/>
            <w:r w:rsidRPr="00760075">
              <w:rPr>
                <w:rFonts w:ascii="Verdana" w:hAnsi="Verdana" w:cs="Arial"/>
                <w:sz w:val="16"/>
                <w:szCs w:val="16"/>
              </w:rPr>
              <w:t>resources, but</w:t>
            </w:r>
            <w:proofErr w:type="gramEnd"/>
            <w:r w:rsidRPr="00760075">
              <w:rPr>
                <w:rFonts w:ascii="Verdana" w:hAnsi="Verdana" w:cs="Arial"/>
                <w:sz w:val="16"/>
                <w:szCs w:val="16"/>
              </w:rPr>
              <w:t xml:space="preserve"> should include investments into particular services or business streams. It should also include consideration of whether their approach to remuneration and employment costs represent optimal use of resources.</w:t>
            </w:r>
          </w:p>
          <w:p w14:paraId="419BE655" w14:textId="77777777" w:rsidR="003C1D7A" w:rsidRPr="00760075" w:rsidRDefault="003C1D7A" w:rsidP="003C1D7A">
            <w:pPr>
              <w:rPr>
                <w:rFonts w:ascii="Verdana" w:hAnsi="Verdana" w:cs="Arial"/>
                <w:sz w:val="16"/>
                <w:szCs w:val="16"/>
              </w:rPr>
            </w:pPr>
          </w:p>
        </w:tc>
        <w:tc>
          <w:tcPr>
            <w:tcW w:w="7342" w:type="dxa"/>
          </w:tcPr>
          <w:p w14:paraId="51C42DD3" w14:textId="60950A1D" w:rsidR="003C1D7A" w:rsidRPr="000C6B50" w:rsidRDefault="003C1D7A" w:rsidP="003C1D7A">
            <w:pPr>
              <w:pStyle w:val="CommentText"/>
              <w:rPr>
                <w:rFonts w:ascii="Verdana" w:hAnsi="Verdana"/>
                <w:sz w:val="16"/>
                <w:szCs w:val="16"/>
              </w:rPr>
            </w:pPr>
            <w:r w:rsidRPr="003C1D7A">
              <w:rPr>
                <w:rFonts w:ascii="Verdana" w:hAnsi="Verdana"/>
                <w:color w:val="E36C0A" w:themeColor="accent6" w:themeShade="BF"/>
                <w:sz w:val="16"/>
                <w:szCs w:val="16"/>
              </w:rPr>
              <w:t xml:space="preserve">As above </w:t>
            </w:r>
          </w:p>
        </w:tc>
      </w:tr>
      <w:tr w:rsidR="003C1D7A" w:rsidRPr="00A30154" w14:paraId="34B9CD8B" w14:textId="77777777" w:rsidTr="003C1D7A">
        <w:trPr>
          <w:trHeight w:val="494"/>
          <w:tblCellSpacing w:w="11" w:type="dxa"/>
        </w:trPr>
        <w:tc>
          <w:tcPr>
            <w:tcW w:w="748" w:type="dxa"/>
            <w:shd w:val="clear" w:color="auto" w:fill="F2F2F2" w:themeFill="background1" w:themeFillShade="F2"/>
          </w:tcPr>
          <w:p w14:paraId="326E1CE2"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16)</w:t>
            </w:r>
          </w:p>
        </w:tc>
        <w:tc>
          <w:tcPr>
            <w:tcW w:w="7130" w:type="dxa"/>
            <w:shd w:val="clear" w:color="auto" w:fill="F2F2F2" w:themeFill="background1" w:themeFillShade="F2"/>
          </w:tcPr>
          <w:p w14:paraId="4556CED0" w14:textId="26F1A4DB" w:rsidR="003C1D7A" w:rsidRPr="00760075" w:rsidRDefault="003C1D7A" w:rsidP="003C1D7A">
            <w:pPr>
              <w:rPr>
                <w:rFonts w:ascii="Verdana" w:hAnsi="Verdana" w:cs="Arial"/>
                <w:sz w:val="16"/>
                <w:szCs w:val="16"/>
              </w:rPr>
            </w:pPr>
            <w:r w:rsidRPr="00760075">
              <w:rPr>
                <w:rFonts w:ascii="Verdana" w:hAnsi="Verdana" w:cs="Arial"/>
                <w:sz w:val="16"/>
                <w:szCs w:val="16"/>
              </w:rPr>
              <w:t>An effective approach to Value for Money requires consideration and action to be taken at both:</w:t>
            </w:r>
          </w:p>
          <w:p w14:paraId="2E48CAB2" w14:textId="77777777" w:rsidR="003C1D7A" w:rsidRPr="00760075" w:rsidRDefault="003C1D7A" w:rsidP="003C1D7A">
            <w:pPr>
              <w:rPr>
                <w:rFonts w:ascii="Verdana" w:hAnsi="Verdana" w:cs="Arial"/>
                <w:sz w:val="16"/>
                <w:szCs w:val="16"/>
              </w:rPr>
            </w:pPr>
          </w:p>
          <w:p w14:paraId="3994CCEE" w14:textId="77777777" w:rsidR="003C1D7A" w:rsidRPr="00760075" w:rsidRDefault="003C1D7A" w:rsidP="003C1D7A">
            <w:pPr>
              <w:rPr>
                <w:rFonts w:ascii="Verdana" w:hAnsi="Verdana" w:cs="Arial"/>
                <w:sz w:val="16"/>
                <w:szCs w:val="16"/>
              </w:rPr>
            </w:pPr>
            <w:r w:rsidRPr="00760075">
              <w:rPr>
                <w:rFonts w:ascii="Verdana" w:hAnsi="Verdana" w:cs="Arial"/>
                <w:sz w:val="16"/>
                <w:szCs w:val="16"/>
              </w:rPr>
              <w:t>An operational level – maximising value for money in the activities they carry out</w:t>
            </w:r>
          </w:p>
          <w:p w14:paraId="1C869E21" w14:textId="77777777" w:rsidR="003C1D7A" w:rsidRPr="00760075" w:rsidRDefault="003C1D7A" w:rsidP="003C1D7A">
            <w:pPr>
              <w:rPr>
                <w:rFonts w:ascii="Verdana" w:hAnsi="Verdana" w:cs="Arial"/>
                <w:sz w:val="16"/>
                <w:szCs w:val="16"/>
              </w:rPr>
            </w:pPr>
          </w:p>
          <w:p w14:paraId="736D1F64" w14:textId="77777777" w:rsidR="003C1D7A" w:rsidRPr="00760075" w:rsidRDefault="003C1D7A" w:rsidP="003C1D7A">
            <w:pPr>
              <w:rPr>
                <w:rFonts w:ascii="Verdana" w:hAnsi="Verdana" w:cs="Arial"/>
                <w:sz w:val="16"/>
                <w:szCs w:val="16"/>
              </w:rPr>
            </w:pPr>
            <w:r w:rsidRPr="00760075">
              <w:rPr>
                <w:rFonts w:ascii="Verdana" w:hAnsi="Verdana" w:cs="Arial"/>
                <w:sz w:val="16"/>
                <w:szCs w:val="16"/>
              </w:rPr>
              <w:t>A strategic level – ensuring that value for money is considered and addressed in all strategic decisions.</w:t>
            </w:r>
          </w:p>
          <w:p w14:paraId="3C5A4381" w14:textId="77777777" w:rsidR="003C1D7A" w:rsidRPr="00760075" w:rsidRDefault="003C1D7A" w:rsidP="003C1D7A">
            <w:pPr>
              <w:rPr>
                <w:rFonts w:ascii="Verdana" w:hAnsi="Verdana" w:cs="Arial"/>
                <w:sz w:val="16"/>
                <w:szCs w:val="16"/>
              </w:rPr>
            </w:pPr>
          </w:p>
        </w:tc>
        <w:tc>
          <w:tcPr>
            <w:tcW w:w="7342" w:type="dxa"/>
            <w:shd w:val="clear" w:color="auto" w:fill="FFFFFF" w:themeFill="background1"/>
          </w:tcPr>
          <w:p w14:paraId="132CB21D" w14:textId="1EA4FD4E" w:rsidR="003C1D7A" w:rsidRPr="00815FBD" w:rsidRDefault="003C1D7A" w:rsidP="003C1D7A">
            <w:pPr>
              <w:rPr>
                <w:rFonts w:ascii="Verdana" w:hAnsi="Verdana"/>
                <w:sz w:val="16"/>
                <w:szCs w:val="16"/>
              </w:rPr>
            </w:pPr>
            <w:r w:rsidRPr="003C1D7A">
              <w:rPr>
                <w:rFonts w:ascii="Verdana" w:hAnsi="Verdana"/>
                <w:color w:val="E36C0A" w:themeColor="accent6" w:themeShade="BF"/>
                <w:sz w:val="16"/>
                <w:szCs w:val="16"/>
              </w:rPr>
              <w:t xml:space="preserve">As above </w:t>
            </w:r>
          </w:p>
        </w:tc>
      </w:tr>
      <w:tr w:rsidR="003C1D7A" w:rsidRPr="00A30154" w14:paraId="433B2248" w14:textId="77777777" w:rsidTr="003C1D7A">
        <w:trPr>
          <w:trHeight w:val="776"/>
          <w:tblCellSpacing w:w="11" w:type="dxa"/>
        </w:trPr>
        <w:tc>
          <w:tcPr>
            <w:tcW w:w="748" w:type="dxa"/>
            <w:shd w:val="clear" w:color="auto" w:fill="F2F2F2" w:themeFill="background1" w:themeFillShade="F2"/>
          </w:tcPr>
          <w:p w14:paraId="570F1128"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lastRenderedPageBreak/>
              <w:t>17a)</w:t>
            </w:r>
          </w:p>
        </w:tc>
        <w:tc>
          <w:tcPr>
            <w:tcW w:w="7130" w:type="dxa"/>
            <w:shd w:val="clear" w:color="auto" w:fill="F2F2F2" w:themeFill="background1" w:themeFillShade="F2"/>
          </w:tcPr>
          <w:p w14:paraId="78120631" w14:textId="77777777" w:rsidR="003C1D7A" w:rsidRPr="00760075" w:rsidRDefault="003C1D7A" w:rsidP="003C1D7A">
            <w:pPr>
              <w:rPr>
                <w:rFonts w:ascii="Verdana" w:hAnsi="Verdana" w:cs="Arial"/>
                <w:sz w:val="16"/>
                <w:szCs w:val="16"/>
              </w:rPr>
            </w:pPr>
            <w:r w:rsidRPr="00760075">
              <w:rPr>
                <w:rFonts w:ascii="Verdana" w:hAnsi="Verdana" w:cs="Arial"/>
                <w:sz w:val="16"/>
                <w:szCs w:val="16"/>
              </w:rPr>
              <w:t xml:space="preserve">Registered providers must ensure that they </w:t>
            </w:r>
            <w:proofErr w:type="gramStart"/>
            <w:r w:rsidRPr="00760075">
              <w:rPr>
                <w:rFonts w:ascii="Verdana" w:hAnsi="Verdana" w:cs="Arial"/>
                <w:sz w:val="16"/>
                <w:szCs w:val="16"/>
              </w:rPr>
              <w:t>have an understanding of</w:t>
            </w:r>
            <w:proofErr w:type="gramEnd"/>
            <w:r w:rsidRPr="00760075">
              <w:rPr>
                <w:rFonts w:ascii="Verdana" w:hAnsi="Verdana" w:cs="Arial"/>
                <w:sz w:val="16"/>
                <w:szCs w:val="16"/>
              </w:rPr>
              <w:t xml:space="preserve"> absolute costs, how these costs compare to other organisations and how they have changed over time. </w:t>
            </w:r>
          </w:p>
          <w:p w14:paraId="66847DC2" w14:textId="77777777" w:rsidR="003C1D7A" w:rsidRPr="00760075" w:rsidRDefault="003C1D7A" w:rsidP="003C1D7A">
            <w:pPr>
              <w:rPr>
                <w:rFonts w:ascii="Verdana" w:hAnsi="Verdana" w:cs="Arial"/>
                <w:sz w:val="16"/>
                <w:szCs w:val="16"/>
              </w:rPr>
            </w:pPr>
          </w:p>
          <w:p w14:paraId="03D97457" w14:textId="77777777" w:rsidR="003C1D7A" w:rsidRPr="00760075" w:rsidRDefault="003C1D7A" w:rsidP="003C1D7A">
            <w:pPr>
              <w:rPr>
                <w:rFonts w:ascii="Verdana" w:hAnsi="Verdana" w:cs="Arial"/>
                <w:sz w:val="16"/>
                <w:szCs w:val="16"/>
              </w:rPr>
            </w:pPr>
            <w:r w:rsidRPr="00760075">
              <w:rPr>
                <w:rFonts w:ascii="Verdana" w:hAnsi="Verdana" w:cs="Arial"/>
                <w:sz w:val="16"/>
                <w:szCs w:val="16"/>
              </w:rPr>
              <w:t>Registered providers should understand what is driving their costs and make sure that they are getting the desired quality at the lowest price.</w:t>
            </w:r>
          </w:p>
          <w:p w14:paraId="4850E08E" w14:textId="77777777" w:rsidR="003C1D7A" w:rsidRPr="00760075" w:rsidRDefault="003C1D7A" w:rsidP="003C1D7A">
            <w:pPr>
              <w:rPr>
                <w:rFonts w:ascii="Verdana" w:hAnsi="Verdana" w:cs="Arial"/>
                <w:sz w:val="16"/>
                <w:szCs w:val="16"/>
              </w:rPr>
            </w:pPr>
          </w:p>
        </w:tc>
        <w:tc>
          <w:tcPr>
            <w:tcW w:w="7342" w:type="dxa"/>
          </w:tcPr>
          <w:p w14:paraId="66F795CF" w14:textId="459A211E" w:rsidR="003C1D7A" w:rsidRPr="000C6B50" w:rsidRDefault="003C1D7A" w:rsidP="003C1D7A">
            <w:pPr>
              <w:pStyle w:val="CommentText"/>
              <w:rPr>
                <w:rFonts w:ascii="Verdana" w:hAnsi="Verdana"/>
                <w:sz w:val="16"/>
                <w:szCs w:val="16"/>
              </w:rPr>
            </w:pPr>
            <w:r w:rsidRPr="003C1D7A">
              <w:rPr>
                <w:rFonts w:ascii="Verdana" w:hAnsi="Verdana"/>
                <w:color w:val="E36C0A" w:themeColor="accent6" w:themeShade="BF"/>
                <w:sz w:val="16"/>
                <w:szCs w:val="16"/>
              </w:rPr>
              <w:t xml:space="preserve">As above </w:t>
            </w:r>
          </w:p>
        </w:tc>
      </w:tr>
      <w:tr w:rsidR="003C1D7A" w:rsidRPr="00A30154" w14:paraId="6AB5108B" w14:textId="77777777" w:rsidTr="003C1D7A">
        <w:trPr>
          <w:trHeight w:val="394"/>
          <w:tblCellSpacing w:w="11" w:type="dxa"/>
        </w:trPr>
        <w:tc>
          <w:tcPr>
            <w:tcW w:w="748" w:type="dxa"/>
            <w:shd w:val="clear" w:color="auto" w:fill="F2F2F2" w:themeFill="background1" w:themeFillShade="F2"/>
          </w:tcPr>
          <w:p w14:paraId="4E9EF634"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18)</w:t>
            </w:r>
          </w:p>
        </w:tc>
        <w:tc>
          <w:tcPr>
            <w:tcW w:w="7130" w:type="dxa"/>
            <w:shd w:val="clear" w:color="auto" w:fill="F2F2F2" w:themeFill="background1" w:themeFillShade="F2"/>
          </w:tcPr>
          <w:p w14:paraId="4357FEC2" w14:textId="77777777" w:rsidR="003C1D7A" w:rsidRPr="00760075" w:rsidRDefault="003C1D7A" w:rsidP="003C1D7A">
            <w:pPr>
              <w:rPr>
                <w:rFonts w:ascii="Verdana" w:hAnsi="Verdana" w:cs="Arial"/>
                <w:sz w:val="16"/>
                <w:szCs w:val="16"/>
              </w:rPr>
            </w:pPr>
            <w:r w:rsidRPr="00760075">
              <w:rPr>
                <w:rFonts w:ascii="Verdana" w:hAnsi="Verdana" w:cs="Arial"/>
                <w:sz w:val="16"/>
                <w:szCs w:val="16"/>
              </w:rPr>
              <w:t>Robust decision making must include a ‘rigorous appraisal’ of all potential options for improving performance and may include (but is not limited to):</w:t>
            </w:r>
          </w:p>
          <w:p w14:paraId="21D53876" w14:textId="77777777" w:rsidR="003C1D7A" w:rsidRPr="00760075" w:rsidRDefault="003C1D7A" w:rsidP="003C1D7A">
            <w:pPr>
              <w:pStyle w:val="ListParagraph"/>
              <w:numPr>
                <w:ilvl w:val="0"/>
                <w:numId w:val="4"/>
              </w:numPr>
              <w:ind w:left="155" w:hanging="155"/>
              <w:rPr>
                <w:rFonts w:ascii="Verdana" w:hAnsi="Verdana" w:cs="Arial"/>
                <w:sz w:val="16"/>
                <w:szCs w:val="16"/>
              </w:rPr>
            </w:pPr>
            <w:r w:rsidRPr="00760075">
              <w:rPr>
                <w:rFonts w:ascii="Verdana" w:hAnsi="Verdana" w:cs="Arial"/>
                <w:sz w:val="16"/>
                <w:szCs w:val="16"/>
              </w:rPr>
              <w:t>cost inputs versus outputs achieved</w:t>
            </w:r>
          </w:p>
          <w:p w14:paraId="0BE3D47F" w14:textId="77777777" w:rsidR="003C1D7A" w:rsidRPr="00760075" w:rsidRDefault="003C1D7A" w:rsidP="003C1D7A">
            <w:pPr>
              <w:pStyle w:val="ListParagraph"/>
              <w:numPr>
                <w:ilvl w:val="0"/>
                <w:numId w:val="4"/>
              </w:numPr>
              <w:ind w:left="155" w:hanging="155"/>
              <w:rPr>
                <w:rFonts w:ascii="Verdana" w:hAnsi="Verdana" w:cs="Arial"/>
                <w:sz w:val="16"/>
                <w:szCs w:val="16"/>
              </w:rPr>
            </w:pPr>
            <w:r w:rsidRPr="00760075">
              <w:rPr>
                <w:rFonts w:ascii="Verdana" w:hAnsi="Verdana" w:cs="Arial"/>
                <w:sz w:val="16"/>
                <w:szCs w:val="16"/>
              </w:rPr>
              <w:t>opportunity cost of using assets and resources in their current function</w:t>
            </w:r>
          </w:p>
          <w:p w14:paraId="3E5BC682" w14:textId="77777777" w:rsidR="003C1D7A" w:rsidRPr="00760075" w:rsidRDefault="003C1D7A" w:rsidP="003C1D7A">
            <w:pPr>
              <w:pStyle w:val="ListParagraph"/>
              <w:numPr>
                <w:ilvl w:val="0"/>
                <w:numId w:val="4"/>
              </w:numPr>
              <w:ind w:left="155" w:hanging="155"/>
              <w:rPr>
                <w:rFonts w:ascii="Verdana" w:hAnsi="Verdana" w:cs="Arial"/>
                <w:sz w:val="16"/>
                <w:szCs w:val="16"/>
              </w:rPr>
            </w:pPr>
            <w:r w:rsidRPr="00760075">
              <w:rPr>
                <w:rFonts w:ascii="Verdana" w:hAnsi="Verdana" w:cs="Arial"/>
                <w:sz w:val="16"/>
                <w:szCs w:val="16"/>
              </w:rPr>
              <w:t>comparison against potential alternatives</w:t>
            </w:r>
          </w:p>
          <w:p w14:paraId="61DB2FCF" w14:textId="77777777" w:rsidR="003C1D7A" w:rsidRPr="00760075" w:rsidRDefault="003C1D7A" w:rsidP="003C1D7A">
            <w:pPr>
              <w:pStyle w:val="ListParagraph"/>
              <w:numPr>
                <w:ilvl w:val="0"/>
                <w:numId w:val="4"/>
              </w:numPr>
              <w:ind w:left="155" w:hanging="155"/>
              <w:rPr>
                <w:rFonts w:ascii="Verdana" w:hAnsi="Verdana" w:cs="Arial"/>
                <w:sz w:val="16"/>
                <w:szCs w:val="16"/>
              </w:rPr>
            </w:pPr>
            <w:r w:rsidRPr="00760075">
              <w:rPr>
                <w:rFonts w:ascii="Verdana" w:hAnsi="Verdana" w:cs="Arial"/>
                <w:sz w:val="16"/>
                <w:szCs w:val="16"/>
              </w:rPr>
              <w:t>evaluation of implications for delivery of objectives.</w:t>
            </w:r>
          </w:p>
          <w:p w14:paraId="30C5F616" w14:textId="77777777" w:rsidR="003C1D7A" w:rsidRPr="00760075" w:rsidRDefault="003C1D7A" w:rsidP="003C1D7A">
            <w:pPr>
              <w:rPr>
                <w:rFonts w:ascii="Verdana" w:hAnsi="Verdana" w:cs="Arial"/>
                <w:sz w:val="16"/>
                <w:szCs w:val="16"/>
              </w:rPr>
            </w:pPr>
          </w:p>
        </w:tc>
        <w:tc>
          <w:tcPr>
            <w:tcW w:w="7342" w:type="dxa"/>
          </w:tcPr>
          <w:p w14:paraId="32F48C3F" w14:textId="7C63AC04" w:rsidR="003C1D7A" w:rsidRPr="000C6B50" w:rsidRDefault="003C1D7A" w:rsidP="003C1D7A">
            <w:pPr>
              <w:pStyle w:val="CommentText"/>
              <w:rPr>
                <w:rFonts w:ascii="Verdana" w:hAnsi="Verdana"/>
                <w:sz w:val="16"/>
                <w:szCs w:val="16"/>
              </w:rPr>
            </w:pPr>
            <w:r w:rsidRPr="003C1D7A">
              <w:rPr>
                <w:rFonts w:ascii="Verdana" w:hAnsi="Verdana"/>
                <w:color w:val="E36C0A" w:themeColor="accent6" w:themeShade="BF"/>
                <w:sz w:val="16"/>
                <w:szCs w:val="16"/>
              </w:rPr>
              <w:t xml:space="preserve">As above </w:t>
            </w:r>
          </w:p>
        </w:tc>
      </w:tr>
      <w:tr w:rsidR="003C1D7A" w:rsidRPr="00A30154" w14:paraId="77A46922" w14:textId="77777777" w:rsidTr="003C1D7A">
        <w:trPr>
          <w:trHeight w:val="1377"/>
          <w:tblCellSpacing w:w="11" w:type="dxa"/>
        </w:trPr>
        <w:tc>
          <w:tcPr>
            <w:tcW w:w="748" w:type="dxa"/>
            <w:shd w:val="clear" w:color="auto" w:fill="F2F2F2" w:themeFill="background1" w:themeFillShade="F2"/>
          </w:tcPr>
          <w:p w14:paraId="3F48A586"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19)</w:t>
            </w:r>
          </w:p>
        </w:tc>
        <w:tc>
          <w:tcPr>
            <w:tcW w:w="7130" w:type="dxa"/>
            <w:shd w:val="clear" w:color="auto" w:fill="F2F2F2" w:themeFill="background1" w:themeFillShade="F2"/>
          </w:tcPr>
          <w:p w14:paraId="6102D746" w14:textId="77777777" w:rsidR="003C1D7A" w:rsidRPr="00760075" w:rsidRDefault="003C1D7A" w:rsidP="003C1D7A">
            <w:pPr>
              <w:rPr>
                <w:rFonts w:ascii="Verdana" w:hAnsi="Verdana" w:cs="Arial"/>
                <w:sz w:val="16"/>
                <w:szCs w:val="16"/>
              </w:rPr>
            </w:pPr>
            <w:r w:rsidRPr="00760075">
              <w:rPr>
                <w:rFonts w:ascii="Verdana" w:hAnsi="Verdana" w:cs="Arial"/>
                <w:sz w:val="16"/>
                <w:szCs w:val="16"/>
              </w:rPr>
              <w:t xml:space="preserve">In some </w:t>
            </w:r>
            <w:proofErr w:type="gramStart"/>
            <w:r w:rsidRPr="00760075">
              <w:rPr>
                <w:rFonts w:ascii="Verdana" w:hAnsi="Verdana" w:cs="Arial"/>
                <w:sz w:val="16"/>
                <w:szCs w:val="16"/>
              </w:rPr>
              <w:t>instances</w:t>
            </w:r>
            <w:proofErr w:type="gramEnd"/>
            <w:r w:rsidRPr="00760075">
              <w:rPr>
                <w:rFonts w:ascii="Verdana" w:hAnsi="Verdana" w:cs="Arial"/>
                <w:sz w:val="16"/>
                <w:szCs w:val="16"/>
              </w:rPr>
              <w:t xml:space="preserve"> the existing commercial, organisational or delivery structures within a registered provider may not be the best vehicle to enable the organisation to achieve its organisational objectives. </w:t>
            </w:r>
          </w:p>
          <w:p w14:paraId="45099137" w14:textId="77777777" w:rsidR="003C1D7A" w:rsidRPr="00760075" w:rsidRDefault="003C1D7A" w:rsidP="003C1D7A">
            <w:pPr>
              <w:rPr>
                <w:rFonts w:ascii="Verdana" w:hAnsi="Verdana" w:cs="Arial"/>
                <w:sz w:val="16"/>
                <w:szCs w:val="16"/>
              </w:rPr>
            </w:pPr>
          </w:p>
          <w:p w14:paraId="1B14BD54" w14:textId="77777777" w:rsidR="003C1D7A" w:rsidRPr="00760075" w:rsidRDefault="003C1D7A" w:rsidP="003C1D7A">
            <w:pPr>
              <w:rPr>
                <w:rFonts w:ascii="Verdana" w:hAnsi="Verdana" w:cs="Arial"/>
                <w:sz w:val="16"/>
                <w:szCs w:val="16"/>
              </w:rPr>
            </w:pPr>
            <w:r w:rsidRPr="00760075">
              <w:rPr>
                <w:rFonts w:ascii="Verdana" w:hAnsi="Verdana" w:cs="Arial"/>
                <w:sz w:val="16"/>
                <w:szCs w:val="16"/>
              </w:rPr>
              <w:t>It is incumbent on boards to actively consider the opportunity costs of their current structures compared to a range of alternatives, and the implications for delivery of objectives and maximising value for money.</w:t>
            </w:r>
          </w:p>
          <w:p w14:paraId="05B00AE6" w14:textId="77777777" w:rsidR="003C1D7A" w:rsidRPr="00760075" w:rsidRDefault="003C1D7A" w:rsidP="003C1D7A">
            <w:pPr>
              <w:rPr>
                <w:rFonts w:ascii="Verdana" w:hAnsi="Verdana" w:cs="Arial"/>
                <w:sz w:val="16"/>
                <w:szCs w:val="16"/>
              </w:rPr>
            </w:pPr>
          </w:p>
          <w:p w14:paraId="4D9EC2B1" w14:textId="77777777" w:rsidR="003C1D7A" w:rsidRPr="00760075" w:rsidRDefault="003C1D7A" w:rsidP="003C1D7A">
            <w:pPr>
              <w:rPr>
                <w:rFonts w:ascii="Verdana" w:hAnsi="Verdana" w:cs="Arial"/>
                <w:sz w:val="16"/>
                <w:szCs w:val="16"/>
              </w:rPr>
            </w:pPr>
          </w:p>
        </w:tc>
        <w:tc>
          <w:tcPr>
            <w:tcW w:w="7342" w:type="dxa"/>
          </w:tcPr>
          <w:p w14:paraId="4FE0A19A" w14:textId="0ADB6D1C" w:rsidR="003C1D7A" w:rsidRPr="000C6B50" w:rsidRDefault="003C1D7A" w:rsidP="003C1D7A">
            <w:pPr>
              <w:pStyle w:val="CommentText"/>
              <w:rPr>
                <w:rFonts w:ascii="Verdana" w:hAnsi="Verdana"/>
                <w:sz w:val="16"/>
                <w:szCs w:val="16"/>
              </w:rPr>
            </w:pPr>
            <w:r w:rsidRPr="003C1D7A">
              <w:rPr>
                <w:rFonts w:ascii="Verdana" w:hAnsi="Verdana"/>
                <w:color w:val="E36C0A" w:themeColor="accent6" w:themeShade="BF"/>
                <w:sz w:val="16"/>
                <w:szCs w:val="16"/>
              </w:rPr>
              <w:t xml:space="preserve">As above </w:t>
            </w:r>
          </w:p>
        </w:tc>
      </w:tr>
      <w:tr w:rsidR="003C1D7A" w:rsidRPr="00A30154" w14:paraId="079592C2" w14:textId="77777777" w:rsidTr="005032E1">
        <w:trPr>
          <w:trHeight w:val="567"/>
          <w:tblCellSpacing w:w="11" w:type="dxa"/>
        </w:trPr>
        <w:tc>
          <w:tcPr>
            <w:tcW w:w="748" w:type="dxa"/>
            <w:shd w:val="clear" w:color="auto" w:fill="F2F2F2" w:themeFill="background1" w:themeFillShade="F2"/>
          </w:tcPr>
          <w:p w14:paraId="79623589" w14:textId="77777777" w:rsidR="003C1D7A" w:rsidRPr="00A30154" w:rsidRDefault="003C1D7A" w:rsidP="003C1D7A">
            <w:pPr>
              <w:jc w:val="center"/>
              <w:rPr>
                <w:rFonts w:ascii="Verdana" w:hAnsi="Verdana" w:cs="Arial"/>
                <w:b/>
                <w:sz w:val="16"/>
                <w:szCs w:val="16"/>
              </w:rPr>
            </w:pPr>
          </w:p>
          <w:p w14:paraId="47ACB018" w14:textId="77777777" w:rsidR="003C1D7A" w:rsidRPr="00A30154" w:rsidRDefault="003C1D7A" w:rsidP="003C1D7A">
            <w:pPr>
              <w:jc w:val="center"/>
              <w:rPr>
                <w:rFonts w:ascii="Verdana" w:hAnsi="Verdana" w:cs="Arial"/>
                <w:b/>
                <w:sz w:val="16"/>
                <w:szCs w:val="16"/>
              </w:rPr>
            </w:pPr>
            <w:r w:rsidRPr="00A30154">
              <w:rPr>
                <w:rFonts w:ascii="Verdana" w:hAnsi="Verdana" w:cs="Arial"/>
                <w:b/>
                <w:sz w:val="16"/>
                <w:szCs w:val="16"/>
              </w:rPr>
              <w:t>2.1b</w:t>
            </w:r>
          </w:p>
        </w:tc>
        <w:tc>
          <w:tcPr>
            <w:tcW w:w="14494" w:type="dxa"/>
            <w:gridSpan w:val="2"/>
            <w:shd w:val="clear" w:color="auto" w:fill="F2F2F2" w:themeFill="background1" w:themeFillShade="F2"/>
          </w:tcPr>
          <w:p w14:paraId="46EC7524" w14:textId="77777777" w:rsidR="003C1D7A" w:rsidRPr="00A30154" w:rsidRDefault="003C1D7A" w:rsidP="003C1D7A">
            <w:pPr>
              <w:autoSpaceDE w:val="0"/>
              <w:autoSpaceDN w:val="0"/>
              <w:adjustRightInd w:val="0"/>
              <w:rPr>
                <w:rFonts w:ascii="Verdana" w:hAnsi="Verdana" w:cs="Arial"/>
                <w:b/>
                <w:sz w:val="16"/>
                <w:szCs w:val="16"/>
                <w:lang w:eastAsia="en-GB"/>
              </w:rPr>
            </w:pPr>
          </w:p>
          <w:p w14:paraId="7856B98C" w14:textId="77777777" w:rsidR="003C1D7A" w:rsidRPr="00A30154" w:rsidRDefault="003C1D7A" w:rsidP="003C1D7A">
            <w:pPr>
              <w:autoSpaceDE w:val="0"/>
              <w:autoSpaceDN w:val="0"/>
              <w:adjustRightInd w:val="0"/>
              <w:rPr>
                <w:rFonts w:ascii="Verdana" w:hAnsi="Verdana" w:cs="Arial"/>
                <w:b/>
                <w:sz w:val="16"/>
                <w:szCs w:val="16"/>
                <w:lang w:eastAsia="en-GB"/>
              </w:rPr>
            </w:pPr>
            <w:r w:rsidRPr="00A30154">
              <w:rPr>
                <w:rFonts w:ascii="Verdana" w:hAnsi="Verdana" w:cs="Arial"/>
                <w:b/>
                <w:sz w:val="16"/>
                <w:szCs w:val="16"/>
                <w:lang w:eastAsia="en-GB"/>
              </w:rPr>
              <w:t>Registered providers must demonstrate regular and appropriate consideration by the board of potential Value for Money gains – this must include full consideration of costs and benefits of alternative commercial, organisational and delivery structures</w:t>
            </w:r>
          </w:p>
          <w:p w14:paraId="32191709" w14:textId="77777777" w:rsidR="003C1D7A" w:rsidRPr="00A30154" w:rsidRDefault="003C1D7A" w:rsidP="003C1D7A">
            <w:pPr>
              <w:rPr>
                <w:rFonts w:ascii="Verdana" w:hAnsi="Verdana"/>
                <w:b/>
                <w:sz w:val="16"/>
                <w:szCs w:val="16"/>
              </w:rPr>
            </w:pPr>
          </w:p>
        </w:tc>
      </w:tr>
      <w:tr w:rsidR="003C1D7A" w:rsidRPr="00A30154" w14:paraId="1E5376DB" w14:textId="77777777" w:rsidTr="003C1D7A">
        <w:trPr>
          <w:trHeight w:val="494"/>
          <w:tblCellSpacing w:w="11" w:type="dxa"/>
        </w:trPr>
        <w:tc>
          <w:tcPr>
            <w:tcW w:w="748" w:type="dxa"/>
            <w:shd w:val="clear" w:color="auto" w:fill="F2F2F2" w:themeFill="background1" w:themeFillShade="F2"/>
          </w:tcPr>
          <w:p w14:paraId="102BD1D4"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20)</w:t>
            </w:r>
          </w:p>
        </w:tc>
        <w:tc>
          <w:tcPr>
            <w:tcW w:w="7130" w:type="dxa"/>
            <w:shd w:val="clear" w:color="auto" w:fill="F2F2F2" w:themeFill="background1" w:themeFillShade="F2"/>
          </w:tcPr>
          <w:p w14:paraId="7C1D7213" w14:textId="77777777" w:rsidR="003C1D7A" w:rsidRPr="00760075" w:rsidRDefault="003C1D7A" w:rsidP="003C1D7A">
            <w:pPr>
              <w:rPr>
                <w:rFonts w:ascii="Verdana" w:hAnsi="Verdana" w:cs="Arial"/>
                <w:sz w:val="16"/>
                <w:szCs w:val="16"/>
              </w:rPr>
            </w:pPr>
            <w:r w:rsidRPr="00760075">
              <w:rPr>
                <w:rFonts w:ascii="Verdana" w:hAnsi="Verdana" w:cs="Arial"/>
                <w:sz w:val="16"/>
                <w:szCs w:val="16"/>
              </w:rPr>
              <w:t>This could include the potential benefits and limitations of considerations such as (but is not limited to):</w:t>
            </w:r>
          </w:p>
          <w:p w14:paraId="10AE4EB9" w14:textId="77777777" w:rsidR="003C1D7A" w:rsidRPr="00760075" w:rsidRDefault="003C1D7A" w:rsidP="003C1D7A">
            <w:pPr>
              <w:pStyle w:val="ListParagraph"/>
              <w:numPr>
                <w:ilvl w:val="0"/>
                <w:numId w:val="5"/>
              </w:numPr>
              <w:ind w:left="155" w:hanging="155"/>
              <w:rPr>
                <w:rFonts w:ascii="Verdana" w:hAnsi="Verdana" w:cs="Arial"/>
                <w:sz w:val="16"/>
                <w:szCs w:val="16"/>
              </w:rPr>
            </w:pPr>
            <w:r w:rsidRPr="00760075">
              <w:rPr>
                <w:rFonts w:ascii="Verdana" w:hAnsi="Verdana" w:cs="Arial"/>
                <w:sz w:val="16"/>
                <w:szCs w:val="16"/>
              </w:rPr>
              <w:t>corporate structure</w:t>
            </w:r>
          </w:p>
          <w:p w14:paraId="0A0EC097" w14:textId="77777777" w:rsidR="003C1D7A" w:rsidRPr="00760075" w:rsidRDefault="003C1D7A" w:rsidP="003C1D7A">
            <w:pPr>
              <w:pStyle w:val="ListParagraph"/>
              <w:numPr>
                <w:ilvl w:val="0"/>
                <w:numId w:val="5"/>
              </w:numPr>
              <w:ind w:left="155" w:hanging="155"/>
              <w:rPr>
                <w:rFonts w:ascii="Verdana" w:hAnsi="Verdana" w:cs="Arial"/>
                <w:sz w:val="16"/>
                <w:szCs w:val="16"/>
              </w:rPr>
            </w:pPr>
            <w:r w:rsidRPr="00760075">
              <w:rPr>
                <w:rFonts w:ascii="Verdana" w:hAnsi="Verdana" w:cs="Arial"/>
                <w:sz w:val="16"/>
                <w:szCs w:val="16"/>
              </w:rPr>
              <w:t>procurement</w:t>
            </w:r>
          </w:p>
          <w:p w14:paraId="72FF08DD" w14:textId="77777777" w:rsidR="003C1D7A" w:rsidRPr="00760075" w:rsidRDefault="003C1D7A" w:rsidP="003C1D7A">
            <w:pPr>
              <w:pStyle w:val="ListParagraph"/>
              <w:numPr>
                <w:ilvl w:val="0"/>
                <w:numId w:val="5"/>
              </w:numPr>
              <w:ind w:left="155" w:hanging="155"/>
              <w:rPr>
                <w:rFonts w:ascii="Verdana" w:hAnsi="Verdana" w:cs="Arial"/>
                <w:sz w:val="16"/>
                <w:szCs w:val="16"/>
              </w:rPr>
            </w:pPr>
            <w:r w:rsidRPr="00760075">
              <w:rPr>
                <w:rFonts w:ascii="Verdana" w:hAnsi="Verdana" w:cs="Arial"/>
                <w:sz w:val="16"/>
                <w:szCs w:val="16"/>
              </w:rPr>
              <w:t xml:space="preserve">diversification of business streams </w:t>
            </w:r>
          </w:p>
          <w:p w14:paraId="3D040657" w14:textId="77777777" w:rsidR="003C1D7A" w:rsidRPr="00760075" w:rsidRDefault="003C1D7A" w:rsidP="003C1D7A">
            <w:pPr>
              <w:pStyle w:val="ListParagraph"/>
              <w:numPr>
                <w:ilvl w:val="0"/>
                <w:numId w:val="5"/>
              </w:numPr>
              <w:ind w:left="155" w:hanging="155"/>
              <w:rPr>
                <w:rFonts w:ascii="Verdana" w:hAnsi="Verdana" w:cs="Arial"/>
                <w:sz w:val="16"/>
                <w:szCs w:val="16"/>
              </w:rPr>
            </w:pPr>
            <w:r w:rsidRPr="00760075">
              <w:rPr>
                <w:rFonts w:ascii="Verdana" w:hAnsi="Verdana" w:cs="Arial"/>
                <w:sz w:val="16"/>
                <w:szCs w:val="16"/>
              </w:rPr>
              <w:t>divestment of business streams</w:t>
            </w:r>
          </w:p>
          <w:p w14:paraId="5E73FB6A" w14:textId="77777777" w:rsidR="003C1D7A" w:rsidRPr="00760075" w:rsidRDefault="003C1D7A" w:rsidP="003C1D7A">
            <w:pPr>
              <w:pStyle w:val="ListParagraph"/>
              <w:numPr>
                <w:ilvl w:val="0"/>
                <w:numId w:val="5"/>
              </w:numPr>
              <w:ind w:left="155" w:hanging="155"/>
              <w:rPr>
                <w:rFonts w:ascii="Verdana" w:hAnsi="Verdana" w:cs="Arial"/>
                <w:sz w:val="16"/>
                <w:szCs w:val="16"/>
              </w:rPr>
            </w:pPr>
            <w:r w:rsidRPr="00760075">
              <w:rPr>
                <w:rFonts w:ascii="Verdana" w:hAnsi="Verdana" w:cs="Arial"/>
                <w:sz w:val="16"/>
                <w:szCs w:val="16"/>
              </w:rPr>
              <w:t>investment in non-social housing activity including that undertaken in any unregistered subsidiary</w:t>
            </w:r>
          </w:p>
          <w:p w14:paraId="2280FA1C" w14:textId="77777777" w:rsidR="003C1D7A" w:rsidRPr="00760075" w:rsidRDefault="003C1D7A" w:rsidP="003C1D7A">
            <w:pPr>
              <w:pStyle w:val="ListParagraph"/>
              <w:numPr>
                <w:ilvl w:val="0"/>
                <w:numId w:val="5"/>
              </w:numPr>
              <w:ind w:left="155" w:hanging="155"/>
              <w:rPr>
                <w:rFonts w:ascii="Verdana" w:hAnsi="Verdana" w:cs="Arial"/>
                <w:sz w:val="16"/>
                <w:szCs w:val="16"/>
              </w:rPr>
            </w:pPr>
            <w:r w:rsidRPr="00760075">
              <w:rPr>
                <w:rFonts w:ascii="Verdana" w:hAnsi="Verdana" w:cs="Arial"/>
                <w:sz w:val="16"/>
                <w:szCs w:val="16"/>
              </w:rPr>
              <w:t>partnership arrangements</w:t>
            </w:r>
          </w:p>
          <w:p w14:paraId="4907CD87" w14:textId="77777777" w:rsidR="003C1D7A" w:rsidRPr="00760075" w:rsidRDefault="003C1D7A" w:rsidP="003C1D7A">
            <w:pPr>
              <w:pStyle w:val="ListParagraph"/>
              <w:numPr>
                <w:ilvl w:val="0"/>
                <w:numId w:val="5"/>
              </w:numPr>
              <w:ind w:left="155" w:hanging="155"/>
              <w:rPr>
                <w:rFonts w:ascii="Verdana" w:hAnsi="Verdana" w:cs="Arial"/>
                <w:sz w:val="16"/>
                <w:szCs w:val="16"/>
              </w:rPr>
            </w:pPr>
            <w:r w:rsidRPr="00760075">
              <w:rPr>
                <w:rFonts w:ascii="Verdana" w:hAnsi="Verdana" w:cs="Arial"/>
                <w:sz w:val="16"/>
                <w:szCs w:val="16"/>
              </w:rPr>
              <w:t>standalone business versus merging with another provider, and</w:t>
            </w:r>
          </w:p>
          <w:p w14:paraId="4B648737" w14:textId="77777777" w:rsidR="003C1D7A" w:rsidRPr="00760075" w:rsidRDefault="003C1D7A" w:rsidP="003C1D7A">
            <w:pPr>
              <w:pStyle w:val="ListParagraph"/>
              <w:numPr>
                <w:ilvl w:val="0"/>
                <w:numId w:val="5"/>
              </w:numPr>
              <w:ind w:left="155" w:hanging="155"/>
              <w:rPr>
                <w:rFonts w:ascii="Verdana" w:hAnsi="Verdana" w:cs="Arial"/>
                <w:sz w:val="16"/>
                <w:szCs w:val="16"/>
              </w:rPr>
            </w:pPr>
            <w:r w:rsidRPr="00760075">
              <w:rPr>
                <w:rFonts w:ascii="Verdana" w:hAnsi="Verdana" w:cs="Arial"/>
                <w:sz w:val="16"/>
                <w:szCs w:val="16"/>
              </w:rPr>
              <w:t>geographic areas of operation.</w:t>
            </w:r>
          </w:p>
          <w:p w14:paraId="6AA41448" w14:textId="77777777" w:rsidR="003C1D7A" w:rsidRPr="00760075" w:rsidRDefault="003C1D7A" w:rsidP="003C1D7A">
            <w:pPr>
              <w:rPr>
                <w:rFonts w:ascii="Verdana" w:hAnsi="Verdana" w:cs="Arial"/>
                <w:sz w:val="16"/>
                <w:szCs w:val="16"/>
              </w:rPr>
            </w:pPr>
          </w:p>
          <w:p w14:paraId="33AAFD0D" w14:textId="77777777" w:rsidR="003C1D7A" w:rsidRPr="00760075" w:rsidRDefault="003C1D7A" w:rsidP="003C1D7A">
            <w:pPr>
              <w:rPr>
                <w:rFonts w:ascii="Verdana" w:hAnsi="Verdana" w:cs="Arial"/>
                <w:sz w:val="16"/>
                <w:szCs w:val="16"/>
              </w:rPr>
            </w:pPr>
          </w:p>
        </w:tc>
        <w:tc>
          <w:tcPr>
            <w:tcW w:w="7342" w:type="dxa"/>
          </w:tcPr>
          <w:p w14:paraId="5D97A9A1" w14:textId="1188FF9A" w:rsidR="003C1D7A" w:rsidRPr="004D03A6" w:rsidRDefault="003C1D7A" w:rsidP="003C1D7A">
            <w:pPr>
              <w:rPr>
                <w:rFonts w:ascii="Verdana" w:hAnsi="Verdana"/>
                <w:sz w:val="16"/>
                <w:szCs w:val="16"/>
              </w:rPr>
            </w:pPr>
            <w:r w:rsidRPr="003C1D7A">
              <w:rPr>
                <w:rFonts w:ascii="Verdana" w:hAnsi="Verdana"/>
                <w:color w:val="E36C0A" w:themeColor="accent6" w:themeShade="BF"/>
                <w:sz w:val="16"/>
                <w:szCs w:val="16"/>
              </w:rPr>
              <w:t xml:space="preserve">As above </w:t>
            </w:r>
          </w:p>
        </w:tc>
      </w:tr>
      <w:tr w:rsidR="003C1D7A" w:rsidRPr="00A30154" w14:paraId="03882F26" w14:textId="77777777" w:rsidTr="005032E1">
        <w:tblPrEx>
          <w:tblCellSpacing w:w="0" w:type="nil"/>
        </w:tblPrEx>
        <w:trPr>
          <w:trHeight w:val="552"/>
        </w:trPr>
        <w:tc>
          <w:tcPr>
            <w:tcW w:w="748" w:type="dxa"/>
            <w:shd w:val="clear" w:color="auto" w:fill="F2F2F2" w:themeFill="background1" w:themeFillShade="F2"/>
          </w:tcPr>
          <w:p w14:paraId="03038295"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2.1c</w:t>
            </w:r>
          </w:p>
        </w:tc>
        <w:tc>
          <w:tcPr>
            <w:tcW w:w="14494" w:type="dxa"/>
            <w:gridSpan w:val="2"/>
            <w:shd w:val="clear" w:color="auto" w:fill="F2F2F2" w:themeFill="background1" w:themeFillShade="F2"/>
          </w:tcPr>
          <w:p w14:paraId="38B54B7F" w14:textId="77777777" w:rsidR="003C1D7A" w:rsidRPr="00A30154" w:rsidRDefault="003C1D7A" w:rsidP="003C1D7A">
            <w:pPr>
              <w:autoSpaceDE w:val="0"/>
              <w:autoSpaceDN w:val="0"/>
              <w:adjustRightInd w:val="0"/>
              <w:rPr>
                <w:rFonts w:ascii="Verdana" w:hAnsi="Verdana" w:cs="Arial"/>
                <w:b/>
                <w:sz w:val="16"/>
                <w:szCs w:val="16"/>
                <w:lang w:eastAsia="en-GB"/>
              </w:rPr>
            </w:pPr>
            <w:r w:rsidRPr="00A30154">
              <w:rPr>
                <w:rFonts w:ascii="Verdana" w:hAnsi="Verdana" w:cs="Arial"/>
                <w:sz w:val="16"/>
                <w:szCs w:val="16"/>
                <w:lang w:eastAsia="en-GB"/>
              </w:rPr>
              <w:t xml:space="preserve">Registered providers must demonstrate </w:t>
            </w:r>
            <w:r w:rsidRPr="00A30154">
              <w:rPr>
                <w:rFonts w:ascii="Verdana" w:hAnsi="Verdana" w:cs="Arial"/>
                <w:b/>
                <w:sz w:val="16"/>
                <w:szCs w:val="16"/>
                <w:lang w:eastAsia="en-GB"/>
              </w:rPr>
              <w:t>regular and appropriate consideration of Value for Money across their whole business including their approach to investment in non-social housing activity – they should include whether this generates returns commensurate to the risk involved and justification where this is not the case</w:t>
            </w:r>
          </w:p>
          <w:p w14:paraId="1E1E17EA" w14:textId="77777777" w:rsidR="003C1D7A" w:rsidRPr="00A30154" w:rsidRDefault="003C1D7A" w:rsidP="003C1D7A">
            <w:pPr>
              <w:rPr>
                <w:rFonts w:ascii="Verdana" w:hAnsi="Verdana"/>
                <w:sz w:val="16"/>
                <w:szCs w:val="16"/>
              </w:rPr>
            </w:pPr>
          </w:p>
        </w:tc>
      </w:tr>
      <w:tr w:rsidR="003C1D7A" w:rsidRPr="00A30154" w14:paraId="7B8B3C8B" w14:textId="77777777" w:rsidTr="003C1D7A">
        <w:trPr>
          <w:trHeight w:val="567"/>
          <w:tblCellSpacing w:w="11" w:type="dxa"/>
        </w:trPr>
        <w:tc>
          <w:tcPr>
            <w:tcW w:w="748" w:type="dxa"/>
            <w:shd w:val="clear" w:color="auto" w:fill="F2F2F2" w:themeFill="background1" w:themeFillShade="F2"/>
          </w:tcPr>
          <w:p w14:paraId="1A856EB1"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21)</w:t>
            </w:r>
          </w:p>
        </w:tc>
        <w:tc>
          <w:tcPr>
            <w:tcW w:w="7130" w:type="dxa"/>
            <w:shd w:val="clear" w:color="auto" w:fill="F2F2F2" w:themeFill="background1" w:themeFillShade="F2"/>
          </w:tcPr>
          <w:p w14:paraId="0BF44463" w14:textId="77777777" w:rsidR="003C1D7A" w:rsidRPr="00760075" w:rsidRDefault="003C1D7A" w:rsidP="003C1D7A">
            <w:pPr>
              <w:rPr>
                <w:rFonts w:ascii="Verdana" w:hAnsi="Verdana" w:cs="Arial"/>
                <w:sz w:val="16"/>
                <w:szCs w:val="16"/>
              </w:rPr>
            </w:pPr>
            <w:r w:rsidRPr="00760075">
              <w:rPr>
                <w:rFonts w:ascii="Verdana" w:hAnsi="Verdana" w:cs="Arial"/>
                <w:sz w:val="16"/>
                <w:szCs w:val="16"/>
              </w:rPr>
              <w:t xml:space="preserve">Where investment in non-social housing activity is being undertaken either by the registered provider or through an unregistered subsidiary, this activity should generate returns commensurate to the risks involved. </w:t>
            </w:r>
            <w:r w:rsidRPr="00760075">
              <w:rPr>
                <w:rFonts w:ascii="Verdana" w:hAnsi="Verdana" w:cs="Arial"/>
                <w:b/>
                <w:sz w:val="16"/>
                <w:szCs w:val="16"/>
              </w:rPr>
              <w:t>Non-social housing</w:t>
            </w:r>
            <w:r w:rsidRPr="00760075">
              <w:rPr>
                <w:rFonts w:ascii="Verdana" w:hAnsi="Verdana" w:cs="Arial"/>
                <w:sz w:val="16"/>
                <w:szCs w:val="16"/>
              </w:rPr>
              <w:t xml:space="preserve">-related </w:t>
            </w:r>
            <w:r w:rsidRPr="00760075">
              <w:rPr>
                <w:rFonts w:ascii="Verdana" w:hAnsi="Verdana" w:cs="Arial"/>
                <w:sz w:val="16"/>
                <w:szCs w:val="16"/>
              </w:rPr>
              <w:lastRenderedPageBreak/>
              <w:t xml:space="preserve">activity may bring with it more inherent risk than more traditional social housing activity. </w:t>
            </w:r>
          </w:p>
          <w:p w14:paraId="34F03367" w14:textId="77777777" w:rsidR="003C1D7A" w:rsidRPr="00760075" w:rsidRDefault="003C1D7A" w:rsidP="003C1D7A">
            <w:pPr>
              <w:rPr>
                <w:rFonts w:ascii="Verdana" w:hAnsi="Verdana" w:cs="Arial"/>
                <w:sz w:val="16"/>
                <w:szCs w:val="16"/>
              </w:rPr>
            </w:pPr>
          </w:p>
          <w:p w14:paraId="7DF0BB0D" w14:textId="77777777" w:rsidR="003C1D7A" w:rsidRPr="00A30154" w:rsidRDefault="003C1D7A" w:rsidP="003C1D7A">
            <w:pPr>
              <w:rPr>
                <w:rFonts w:ascii="Verdana" w:hAnsi="Verdana" w:cs="Arial"/>
                <w:sz w:val="16"/>
                <w:szCs w:val="16"/>
              </w:rPr>
            </w:pPr>
            <w:r w:rsidRPr="00760075">
              <w:rPr>
                <w:rFonts w:ascii="Verdana" w:hAnsi="Verdana" w:cs="Arial"/>
                <w:sz w:val="16"/>
                <w:szCs w:val="16"/>
              </w:rPr>
              <w:t>Where this is the case, registered providers should fully understand and balance the risks associated with the activity versus the rewards they expect to receive</w:t>
            </w:r>
          </w:p>
        </w:tc>
        <w:tc>
          <w:tcPr>
            <w:tcW w:w="7342" w:type="dxa"/>
          </w:tcPr>
          <w:p w14:paraId="72888CB7" w14:textId="0E723836" w:rsidR="003C1D7A" w:rsidRPr="004D03A6" w:rsidRDefault="003C1D7A" w:rsidP="003C1D7A">
            <w:pPr>
              <w:rPr>
                <w:b/>
              </w:rPr>
            </w:pPr>
            <w:r w:rsidRPr="003C1D7A">
              <w:rPr>
                <w:rFonts w:ascii="Verdana" w:hAnsi="Verdana"/>
                <w:color w:val="E36C0A" w:themeColor="accent6" w:themeShade="BF"/>
                <w:sz w:val="16"/>
                <w:szCs w:val="16"/>
              </w:rPr>
              <w:lastRenderedPageBreak/>
              <w:t xml:space="preserve">As above </w:t>
            </w:r>
          </w:p>
        </w:tc>
      </w:tr>
      <w:tr w:rsidR="003C1D7A" w:rsidRPr="00A30154" w14:paraId="1C737EE3" w14:textId="77777777" w:rsidTr="005032E1">
        <w:trPr>
          <w:trHeight w:val="740"/>
          <w:tblCellSpacing w:w="11" w:type="dxa"/>
        </w:trPr>
        <w:tc>
          <w:tcPr>
            <w:tcW w:w="748" w:type="dxa"/>
            <w:shd w:val="clear" w:color="auto" w:fill="F2F2F2" w:themeFill="background1" w:themeFillShade="F2"/>
          </w:tcPr>
          <w:p w14:paraId="279E8846"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2.1d</w:t>
            </w:r>
          </w:p>
        </w:tc>
        <w:tc>
          <w:tcPr>
            <w:tcW w:w="14494" w:type="dxa"/>
            <w:gridSpan w:val="2"/>
            <w:shd w:val="clear" w:color="auto" w:fill="F2F2F2" w:themeFill="background1" w:themeFillShade="F2"/>
          </w:tcPr>
          <w:p w14:paraId="07DEAEF0" w14:textId="77777777" w:rsidR="003C1D7A" w:rsidRPr="00A30154" w:rsidRDefault="003C1D7A" w:rsidP="003C1D7A">
            <w:pPr>
              <w:autoSpaceDE w:val="0"/>
              <w:autoSpaceDN w:val="0"/>
              <w:adjustRightInd w:val="0"/>
              <w:rPr>
                <w:rFonts w:ascii="Verdana" w:hAnsi="Verdana" w:cs="Arial"/>
                <w:b/>
                <w:sz w:val="16"/>
                <w:szCs w:val="16"/>
                <w:lang w:eastAsia="en-GB"/>
              </w:rPr>
            </w:pPr>
            <w:r w:rsidRPr="00A30154">
              <w:rPr>
                <w:rFonts w:ascii="Verdana" w:hAnsi="Verdana" w:cs="Arial"/>
                <w:sz w:val="16"/>
                <w:szCs w:val="16"/>
                <w:lang w:eastAsia="en-GB"/>
              </w:rPr>
              <w:t xml:space="preserve">Registered providers must demonstrate </w:t>
            </w:r>
            <w:r w:rsidRPr="00A30154">
              <w:rPr>
                <w:rFonts w:ascii="Verdana" w:hAnsi="Verdana" w:cs="Arial"/>
                <w:b/>
                <w:sz w:val="16"/>
                <w:szCs w:val="16"/>
                <w:lang w:eastAsia="en-GB"/>
              </w:rPr>
              <w:t>that they have appropriate targets in place for measuring performance in achieving Value for Money in delivering their strategic objectives, and that they regularly monitor and report their performance against these targets.</w:t>
            </w:r>
          </w:p>
          <w:p w14:paraId="04E9E7EF" w14:textId="77777777" w:rsidR="003C1D7A" w:rsidRPr="00A30154" w:rsidRDefault="003C1D7A" w:rsidP="003C1D7A">
            <w:pPr>
              <w:rPr>
                <w:rFonts w:ascii="Verdana" w:hAnsi="Verdana"/>
                <w:sz w:val="16"/>
                <w:szCs w:val="16"/>
              </w:rPr>
            </w:pPr>
          </w:p>
        </w:tc>
      </w:tr>
      <w:tr w:rsidR="003C1D7A" w:rsidRPr="00A30154" w14:paraId="0C12C4D8" w14:textId="77777777" w:rsidTr="003C1D7A">
        <w:trPr>
          <w:trHeight w:val="932"/>
          <w:tblCellSpacing w:w="11" w:type="dxa"/>
        </w:trPr>
        <w:tc>
          <w:tcPr>
            <w:tcW w:w="748" w:type="dxa"/>
            <w:shd w:val="clear" w:color="auto" w:fill="F2F2F2" w:themeFill="background1" w:themeFillShade="F2"/>
          </w:tcPr>
          <w:p w14:paraId="15D793BF"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22)</w:t>
            </w:r>
          </w:p>
        </w:tc>
        <w:tc>
          <w:tcPr>
            <w:tcW w:w="7130" w:type="dxa"/>
            <w:shd w:val="clear" w:color="auto" w:fill="F2F2F2" w:themeFill="background1" w:themeFillShade="F2"/>
          </w:tcPr>
          <w:p w14:paraId="0A4BD298" w14:textId="77777777" w:rsidR="003C1D7A" w:rsidRPr="00760075" w:rsidRDefault="003C1D7A" w:rsidP="003C1D7A">
            <w:pPr>
              <w:rPr>
                <w:rFonts w:ascii="Verdana" w:hAnsi="Verdana" w:cs="Arial"/>
                <w:sz w:val="16"/>
                <w:szCs w:val="16"/>
              </w:rPr>
            </w:pPr>
            <w:r w:rsidRPr="00760075">
              <w:rPr>
                <w:rFonts w:ascii="Verdana" w:hAnsi="Verdana" w:cs="Arial"/>
                <w:sz w:val="16"/>
                <w:szCs w:val="16"/>
              </w:rPr>
              <w:t xml:space="preserve">Transparency and accountability help drive improvement in value for money. Transparency requires appropriate performance monitoring and reporting systems, encompassing all elements of the value chain and the </w:t>
            </w:r>
            <w:r w:rsidRPr="00760075">
              <w:rPr>
                <w:rFonts w:ascii="Verdana" w:hAnsi="Verdana" w:cs="Arial"/>
                <w:b/>
                <w:sz w:val="16"/>
                <w:szCs w:val="16"/>
              </w:rPr>
              <w:t>economy, efficiency and effectiveness</w:t>
            </w:r>
            <w:r w:rsidRPr="00760075">
              <w:rPr>
                <w:rFonts w:ascii="Verdana" w:hAnsi="Verdana" w:cs="Arial"/>
                <w:sz w:val="16"/>
                <w:szCs w:val="16"/>
              </w:rPr>
              <w:t xml:space="preserve"> of boards’ actions and decisions. </w:t>
            </w:r>
          </w:p>
          <w:p w14:paraId="19DABA48" w14:textId="77777777" w:rsidR="003C1D7A" w:rsidRPr="00760075" w:rsidRDefault="003C1D7A" w:rsidP="003C1D7A">
            <w:pPr>
              <w:rPr>
                <w:rFonts w:ascii="Verdana" w:hAnsi="Verdana" w:cs="Arial"/>
                <w:sz w:val="16"/>
                <w:szCs w:val="16"/>
              </w:rPr>
            </w:pPr>
          </w:p>
          <w:p w14:paraId="7729244F" w14:textId="77777777" w:rsidR="003C1D7A" w:rsidRPr="00A30154" w:rsidRDefault="003C1D7A" w:rsidP="003C1D7A">
            <w:pPr>
              <w:rPr>
                <w:rFonts w:ascii="Verdana" w:hAnsi="Verdana" w:cs="Arial"/>
                <w:sz w:val="16"/>
                <w:szCs w:val="16"/>
              </w:rPr>
            </w:pPr>
            <w:r w:rsidRPr="00760075">
              <w:rPr>
                <w:rFonts w:ascii="Verdana" w:hAnsi="Verdana" w:cs="Arial"/>
                <w:sz w:val="16"/>
                <w:szCs w:val="16"/>
              </w:rPr>
              <w:t xml:space="preserve">Where boards find that expected levels of delivery are not being achieved, they should ensure that they have the systems and skills in place to be able to challenge executives. They should also ensure that robust plans are in place for improvement, or where it would not be appropriate to undertake </w:t>
            </w:r>
            <w:proofErr w:type="gramStart"/>
            <w:r w:rsidRPr="00760075">
              <w:rPr>
                <w:rFonts w:ascii="Verdana" w:hAnsi="Verdana" w:cs="Arial"/>
                <w:sz w:val="16"/>
                <w:szCs w:val="16"/>
              </w:rPr>
              <w:t>improvements</w:t>
            </w:r>
            <w:proofErr w:type="gramEnd"/>
            <w:r w:rsidRPr="00760075">
              <w:rPr>
                <w:rFonts w:ascii="Verdana" w:hAnsi="Verdana" w:cs="Arial"/>
                <w:sz w:val="16"/>
                <w:szCs w:val="16"/>
              </w:rPr>
              <w:t xml:space="preserve"> this should be clearly stated and the rationale for the decision set out.</w:t>
            </w:r>
          </w:p>
        </w:tc>
        <w:tc>
          <w:tcPr>
            <w:tcW w:w="7342" w:type="dxa"/>
            <w:shd w:val="clear" w:color="auto" w:fill="FFFFFF" w:themeFill="background1"/>
          </w:tcPr>
          <w:p w14:paraId="4FFF314A" w14:textId="11A56D36" w:rsidR="003C1D7A" w:rsidRPr="007E4A61" w:rsidRDefault="003C1D7A" w:rsidP="003C1D7A">
            <w:pPr>
              <w:rPr>
                <w:rFonts w:ascii="Verdana" w:hAnsi="Verdana"/>
                <w:b/>
                <w:sz w:val="16"/>
                <w:szCs w:val="16"/>
              </w:rPr>
            </w:pPr>
            <w:r w:rsidRPr="003C1D7A">
              <w:rPr>
                <w:rFonts w:ascii="Verdana" w:hAnsi="Verdana"/>
                <w:color w:val="E36C0A" w:themeColor="accent6" w:themeShade="BF"/>
                <w:sz w:val="16"/>
                <w:szCs w:val="16"/>
              </w:rPr>
              <w:t xml:space="preserve">As above </w:t>
            </w:r>
          </w:p>
        </w:tc>
      </w:tr>
      <w:tr w:rsidR="003C1D7A" w:rsidRPr="00A30154" w14:paraId="3DA3EDBA" w14:textId="77777777" w:rsidTr="005032E1">
        <w:trPr>
          <w:trHeight w:val="932"/>
          <w:tblCellSpacing w:w="11" w:type="dxa"/>
        </w:trPr>
        <w:tc>
          <w:tcPr>
            <w:tcW w:w="748" w:type="dxa"/>
            <w:shd w:val="clear" w:color="auto" w:fill="F2F2F2" w:themeFill="background1" w:themeFillShade="F2"/>
          </w:tcPr>
          <w:p w14:paraId="47164798" w14:textId="77777777" w:rsidR="003C1D7A" w:rsidRPr="00A30154" w:rsidRDefault="003C1D7A" w:rsidP="003C1D7A">
            <w:pPr>
              <w:jc w:val="center"/>
              <w:rPr>
                <w:rFonts w:ascii="Verdana" w:hAnsi="Verdana" w:cs="Arial"/>
                <w:b/>
                <w:sz w:val="16"/>
                <w:szCs w:val="16"/>
              </w:rPr>
            </w:pPr>
          </w:p>
          <w:p w14:paraId="3CC563BE" w14:textId="77777777" w:rsidR="003C1D7A" w:rsidRPr="00A30154" w:rsidRDefault="003C1D7A" w:rsidP="003C1D7A">
            <w:pPr>
              <w:jc w:val="center"/>
              <w:rPr>
                <w:rFonts w:ascii="Verdana" w:hAnsi="Verdana" w:cs="Arial"/>
                <w:b/>
                <w:sz w:val="16"/>
                <w:szCs w:val="16"/>
              </w:rPr>
            </w:pPr>
            <w:r w:rsidRPr="00A30154">
              <w:rPr>
                <w:rFonts w:ascii="Verdana" w:hAnsi="Verdana" w:cs="Arial"/>
                <w:b/>
                <w:sz w:val="16"/>
                <w:szCs w:val="16"/>
              </w:rPr>
              <w:t>2.2a</w:t>
            </w:r>
          </w:p>
        </w:tc>
        <w:tc>
          <w:tcPr>
            <w:tcW w:w="14494" w:type="dxa"/>
            <w:gridSpan w:val="2"/>
            <w:shd w:val="clear" w:color="auto" w:fill="F2F2F2" w:themeFill="background1" w:themeFillShade="F2"/>
          </w:tcPr>
          <w:p w14:paraId="7B903B79" w14:textId="77777777" w:rsidR="003C1D7A" w:rsidRPr="00A30154" w:rsidRDefault="003C1D7A" w:rsidP="003C1D7A">
            <w:pPr>
              <w:contextualSpacing/>
              <w:rPr>
                <w:rFonts w:ascii="Verdana" w:hAnsi="Verdana" w:cs="Arial"/>
                <w:b/>
                <w:sz w:val="16"/>
                <w:szCs w:val="16"/>
                <w:lang w:eastAsia="en-GB"/>
              </w:rPr>
            </w:pPr>
          </w:p>
          <w:p w14:paraId="67468DC9" w14:textId="77777777" w:rsidR="003C1D7A" w:rsidRPr="00A30154" w:rsidRDefault="003C1D7A" w:rsidP="003C1D7A">
            <w:pPr>
              <w:contextualSpacing/>
              <w:rPr>
                <w:rFonts w:ascii="Verdana" w:hAnsi="Verdana" w:cs="Arial"/>
                <w:b/>
                <w:sz w:val="16"/>
                <w:szCs w:val="16"/>
                <w:lang w:eastAsia="en-GB"/>
              </w:rPr>
            </w:pPr>
            <w:r w:rsidRPr="00A30154">
              <w:rPr>
                <w:rFonts w:ascii="Verdana" w:hAnsi="Verdana" w:cs="Arial"/>
                <w:b/>
                <w:sz w:val="16"/>
                <w:szCs w:val="16"/>
                <w:lang w:eastAsia="en-GB"/>
              </w:rPr>
              <w:t xml:space="preserve">Registered providers must annually publish evidence in the statutory accounts to enable stakeholders to understand the </w:t>
            </w:r>
            <w:proofErr w:type="gramStart"/>
            <w:r w:rsidRPr="00A30154">
              <w:rPr>
                <w:rFonts w:ascii="Verdana" w:hAnsi="Verdana" w:cs="Arial"/>
                <w:b/>
                <w:sz w:val="16"/>
                <w:szCs w:val="16"/>
                <w:lang w:eastAsia="en-GB"/>
              </w:rPr>
              <w:t>provider’s  performance</w:t>
            </w:r>
            <w:proofErr w:type="gramEnd"/>
            <w:r w:rsidRPr="00A30154">
              <w:rPr>
                <w:rFonts w:ascii="Verdana" w:hAnsi="Verdana" w:cs="Arial"/>
                <w:b/>
                <w:sz w:val="16"/>
                <w:szCs w:val="16"/>
                <w:lang w:eastAsia="en-GB"/>
              </w:rPr>
              <w:t xml:space="preserve"> against its own value for money targets and any metrics set out by the regulator, and how that performance compares to peers</w:t>
            </w:r>
          </w:p>
          <w:p w14:paraId="18BA498A" w14:textId="77777777" w:rsidR="003C1D7A" w:rsidRPr="00A30154" w:rsidRDefault="003C1D7A" w:rsidP="003C1D7A">
            <w:pPr>
              <w:rPr>
                <w:rFonts w:ascii="Verdana" w:hAnsi="Verdana"/>
                <w:b/>
                <w:sz w:val="16"/>
                <w:szCs w:val="16"/>
              </w:rPr>
            </w:pPr>
          </w:p>
        </w:tc>
      </w:tr>
      <w:tr w:rsidR="003C1D7A" w:rsidRPr="00A30154" w14:paraId="6E86D280" w14:textId="77777777" w:rsidTr="003C1D7A">
        <w:trPr>
          <w:trHeight w:val="1869"/>
          <w:tblCellSpacing w:w="11" w:type="dxa"/>
        </w:trPr>
        <w:tc>
          <w:tcPr>
            <w:tcW w:w="748" w:type="dxa"/>
            <w:shd w:val="clear" w:color="auto" w:fill="F2F2F2" w:themeFill="background1" w:themeFillShade="F2"/>
          </w:tcPr>
          <w:p w14:paraId="54E3D40F"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23a)</w:t>
            </w:r>
          </w:p>
        </w:tc>
        <w:tc>
          <w:tcPr>
            <w:tcW w:w="7130" w:type="dxa"/>
            <w:shd w:val="clear" w:color="auto" w:fill="F2F2F2" w:themeFill="background1" w:themeFillShade="F2"/>
          </w:tcPr>
          <w:p w14:paraId="434B14F9" w14:textId="77777777" w:rsidR="003C1D7A" w:rsidRPr="00760075" w:rsidRDefault="003C1D7A" w:rsidP="003C1D7A">
            <w:pPr>
              <w:rPr>
                <w:rFonts w:ascii="Verdana" w:hAnsi="Verdana" w:cs="Arial"/>
                <w:sz w:val="16"/>
                <w:szCs w:val="16"/>
              </w:rPr>
            </w:pPr>
            <w:r w:rsidRPr="00760075">
              <w:rPr>
                <w:rFonts w:ascii="Verdana" w:hAnsi="Verdana" w:cs="Arial"/>
                <w:sz w:val="16"/>
                <w:szCs w:val="16"/>
              </w:rPr>
              <w:t xml:space="preserve">Registered providers must ensure that the reporting undertaken meets the requirements of the Standard, including the requirement to report against the metrics defined by the regulator and to report value for money at a group level, </w:t>
            </w:r>
            <w:proofErr w:type="gramStart"/>
            <w:r w:rsidRPr="00760075">
              <w:rPr>
                <w:rFonts w:ascii="Verdana" w:hAnsi="Verdana" w:cs="Arial"/>
                <w:sz w:val="16"/>
                <w:szCs w:val="16"/>
              </w:rPr>
              <w:t>taking into account</w:t>
            </w:r>
            <w:proofErr w:type="gramEnd"/>
            <w:r w:rsidRPr="00760075">
              <w:rPr>
                <w:rFonts w:ascii="Verdana" w:hAnsi="Verdana" w:cs="Arial"/>
                <w:sz w:val="16"/>
                <w:szCs w:val="16"/>
              </w:rPr>
              <w:t xml:space="preserve"> all areas of the organisational structure. </w:t>
            </w:r>
          </w:p>
          <w:p w14:paraId="32705FE9" w14:textId="77777777" w:rsidR="003C1D7A" w:rsidRPr="00A30154" w:rsidRDefault="003C1D7A" w:rsidP="003C1D7A">
            <w:pPr>
              <w:rPr>
                <w:rFonts w:ascii="Verdana" w:hAnsi="Verdana" w:cs="Arial"/>
                <w:sz w:val="16"/>
                <w:szCs w:val="16"/>
              </w:rPr>
            </w:pPr>
          </w:p>
        </w:tc>
        <w:tc>
          <w:tcPr>
            <w:tcW w:w="7342" w:type="dxa"/>
          </w:tcPr>
          <w:p w14:paraId="5C136141" w14:textId="5C3A2BAE" w:rsidR="003C1D7A" w:rsidRPr="000C6B50" w:rsidRDefault="003C1D7A" w:rsidP="003C1D7A">
            <w:pPr>
              <w:pStyle w:val="CommentText"/>
              <w:rPr>
                <w:rFonts w:ascii="Verdana" w:hAnsi="Verdana"/>
                <w:sz w:val="16"/>
                <w:szCs w:val="16"/>
              </w:rPr>
            </w:pPr>
            <w:r w:rsidRPr="003C1D7A">
              <w:rPr>
                <w:rFonts w:ascii="Verdana" w:hAnsi="Verdana"/>
                <w:color w:val="E36C0A" w:themeColor="accent6" w:themeShade="BF"/>
                <w:sz w:val="16"/>
                <w:szCs w:val="16"/>
              </w:rPr>
              <w:t xml:space="preserve">As above </w:t>
            </w:r>
          </w:p>
        </w:tc>
      </w:tr>
      <w:tr w:rsidR="003C1D7A" w:rsidRPr="00A30154" w14:paraId="22FCEAA3" w14:textId="77777777" w:rsidTr="003C1D7A">
        <w:trPr>
          <w:trHeight w:val="511"/>
          <w:tblCellSpacing w:w="11" w:type="dxa"/>
        </w:trPr>
        <w:tc>
          <w:tcPr>
            <w:tcW w:w="748" w:type="dxa"/>
            <w:shd w:val="clear" w:color="auto" w:fill="F2F2F2" w:themeFill="background1" w:themeFillShade="F2"/>
          </w:tcPr>
          <w:p w14:paraId="45467B2D"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23b)</w:t>
            </w:r>
          </w:p>
        </w:tc>
        <w:tc>
          <w:tcPr>
            <w:tcW w:w="7130" w:type="dxa"/>
            <w:shd w:val="clear" w:color="auto" w:fill="F2F2F2" w:themeFill="background1" w:themeFillShade="F2"/>
          </w:tcPr>
          <w:p w14:paraId="3BF03ECC" w14:textId="77777777" w:rsidR="003C1D7A" w:rsidRPr="00760075" w:rsidRDefault="003C1D7A" w:rsidP="003C1D7A">
            <w:pPr>
              <w:rPr>
                <w:rFonts w:ascii="Verdana" w:hAnsi="Verdana" w:cs="Arial"/>
                <w:sz w:val="16"/>
                <w:szCs w:val="16"/>
              </w:rPr>
            </w:pPr>
            <w:r w:rsidRPr="00760075">
              <w:rPr>
                <w:rFonts w:ascii="Verdana" w:hAnsi="Verdana" w:cs="Arial"/>
                <w:sz w:val="16"/>
                <w:szCs w:val="16"/>
              </w:rPr>
              <w:t xml:space="preserve">Registered providers should also report on different activities and types of assets that are appropriate to their business priorities. </w:t>
            </w:r>
          </w:p>
        </w:tc>
        <w:tc>
          <w:tcPr>
            <w:tcW w:w="7342" w:type="dxa"/>
          </w:tcPr>
          <w:p w14:paraId="34F7D6EC" w14:textId="3EAA9112" w:rsidR="003C1D7A" w:rsidRPr="00A30154" w:rsidRDefault="003C1D7A" w:rsidP="003C1D7A">
            <w:pPr>
              <w:rPr>
                <w:rFonts w:ascii="Verdana" w:hAnsi="Verdana"/>
                <w:sz w:val="16"/>
                <w:szCs w:val="16"/>
              </w:rPr>
            </w:pPr>
            <w:r w:rsidRPr="003C1D7A">
              <w:rPr>
                <w:rFonts w:ascii="Verdana" w:hAnsi="Verdana"/>
                <w:color w:val="E36C0A" w:themeColor="accent6" w:themeShade="BF"/>
                <w:sz w:val="16"/>
                <w:szCs w:val="16"/>
              </w:rPr>
              <w:t xml:space="preserve">As above </w:t>
            </w:r>
          </w:p>
        </w:tc>
      </w:tr>
      <w:tr w:rsidR="003C1D7A" w:rsidRPr="00A30154" w14:paraId="2597DD0D" w14:textId="77777777" w:rsidTr="003C1D7A">
        <w:trPr>
          <w:trHeight w:val="54"/>
          <w:tblCellSpacing w:w="11" w:type="dxa"/>
        </w:trPr>
        <w:tc>
          <w:tcPr>
            <w:tcW w:w="748" w:type="dxa"/>
            <w:shd w:val="clear" w:color="auto" w:fill="F2F2F2" w:themeFill="background1" w:themeFillShade="F2"/>
          </w:tcPr>
          <w:p w14:paraId="5BC22CF4"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23c)</w:t>
            </w:r>
          </w:p>
        </w:tc>
        <w:tc>
          <w:tcPr>
            <w:tcW w:w="7130" w:type="dxa"/>
            <w:shd w:val="clear" w:color="auto" w:fill="F2F2F2" w:themeFill="background1" w:themeFillShade="F2"/>
          </w:tcPr>
          <w:p w14:paraId="0F9C21DF" w14:textId="2B7A8657" w:rsidR="003C1D7A" w:rsidRPr="00260C01" w:rsidRDefault="003C1D7A" w:rsidP="003C1D7A">
            <w:pPr>
              <w:rPr>
                <w:rFonts w:ascii="Verdana" w:hAnsi="Verdana" w:cs="Arial"/>
                <w:sz w:val="8"/>
                <w:szCs w:val="16"/>
              </w:rPr>
            </w:pPr>
            <w:r w:rsidRPr="00760075">
              <w:rPr>
                <w:rFonts w:ascii="Verdana" w:hAnsi="Verdana" w:cs="Arial"/>
                <w:sz w:val="16"/>
                <w:szCs w:val="16"/>
              </w:rPr>
              <w:t xml:space="preserve">Registered providers who undertake a range of different activities are expected to report on those activities separately to their social housing activity. They should also consider their actual performance, previous year’s performance, future </w:t>
            </w:r>
            <w:proofErr w:type="gramStart"/>
            <w:r w:rsidRPr="00760075">
              <w:rPr>
                <w:rFonts w:ascii="Verdana" w:hAnsi="Verdana" w:cs="Arial"/>
                <w:sz w:val="16"/>
                <w:szCs w:val="16"/>
              </w:rPr>
              <w:t>forecasts</w:t>
            </w:r>
            <w:proofErr w:type="gramEnd"/>
            <w:r w:rsidRPr="00760075">
              <w:rPr>
                <w:rFonts w:ascii="Verdana" w:hAnsi="Verdana" w:cs="Arial"/>
                <w:sz w:val="16"/>
                <w:szCs w:val="16"/>
              </w:rPr>
              <w:t xml:space="preserve"> and targets against forecasts in relation to strategic objectives.</w:t>
            </w:r>
          </w:p>
        </w:tc>
        <w:tc>
          <w:tcPr>
            <w:tcW w:w="7342" w:type="dxa"/>
          </w:tcPr>
          <w:p w14:paraId="787B19C0" w14:textId="308C37BB" w:rsidR="003C1D7A" w:rsidRPr="00A30154" w:rsidRDefault="003C1D7A" w:rsidP="003C1D7A">
            <w:pPr>
              <w:rPr>
                <w:rFonts w:ascii="Verdana" w:hAnsi="Verdana"/>
                <w:sz w:val="16"/>
                <w:szCs w:val="16"/>
              </w:rPr>
            </w:pPr>
            <w:r w:rsidRPr="003C1D7A">
              <w:rPr>
                <w:rFonts w:ascii="Verdana" w:hAnsi="Verdana"/>
                <w:color w:val="E36C0A" w:themeColor="accent6" w:themeShade="BF"/>
                <w:sz w:val="16"/>
                <w:szCs w:val="16"/>
              </w:rPr>
              <w:t xml:space="preserve">As above </w:t>
            </w:r>
          </w:p>
        </w:tc>
      </w:tr>
      <w:tr w:rsidR="003C1D7A" w:rsidRPr="00A30154" w14:paraId="461753E9" w14:textId="77777777" w:rsidTr="003C1D7A">
        <w:trPr>
          <w:trHeight w:val="252"/>
          <w:tblCellSpacing w:w="11" w:type="dxa"/>
        </w:trPr>
        <w:tc>
          <w:tcPr>
            <w:tcW w:w="748" w:type="dxa"/>
            <w:shd w:val="clear" w:color="auto" w:fill="F2F2F2" w:themeFill="background1" w:themeFillShade="F2"/>
          </w:tcPr>
          <w:p w14:paraId="4E0810C4"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24)</w:t>
            </w:r>
          </w:p>
        </w:tc>
        <w:tc>
          <w:tcPr>
            <w:tcW w:w="7130" w:type="dxa"/>
            <w:shd w:val="clear" w:color="auto" w:fill="F2F2F2" w:themeFill="background1" w:themeFillShade="F2"/>
          </w:tcPr>
          <w:p w14:paraId="26780F43" w14:textId="77777777" w:rsidR="003C1D7A" w:rsidRPr="00760075" w:rsidRDefault="003C1D7A" w:rsidP="003C1D7A">
            <w:pPr>
              <w:rPr>
                <w:rFonts w:ascii="Verdana" w:hAnsi="Verdana" w:cs="Arial"/>
                <w:sz w:val="16"/>
                <w:szCs w:val="16"/>
              </w:rPr>
            </w:pPr>
            <w:r w:rsidRPr="00760075">
              <w:rPr>
                <w:rFonts w:ascii="Verdana" w:hAnsi="Verdana" w:cs="Arial"/>
                <w:sz w:val="16"/>
                <w:szCs w:val="16"/>
              </w:rPr>
              <w:t>Registered providers are also free to report any additional measurements that they consider would aid understanding of their performance (</w:t>
            </w:r>
            <w:proofErr w:type="gramStart"/>
            <w:r w:rsidRPr="00760075">
              <w:rPr>
                <w:rFonts w:ascii="Verdana" w:hAnsi="Verdana" w:cs="Arial"/>
                <w:sz w:val="16"/>
                <w:szCs w:val="16"/>
              </w:rPr>
              <w:t>e.g.</w:t>
            </w:r>
            <w:proofErr w:type="gramEnd"/>
            <w:r w:rsidRPr="00760075">
              <w:rPr>
                <w:rFonts w:ascii="Verdana" w:hAnsi="Verdana" w:cs="Arial"/>
                <w:sz w:val="16"/>
                <w:szCs w:val="16"/>
              </w:rPr>
              <w:t xml:space="preserve"> costs and outcomes for supported housing and other specialist areas of the business). Explanation of underlying factors influencing performance must be factual and concise and easily identifiable.</w:t>
            </w:r>
          </w:p>
          <w:p w14:paraId="66EE51EF" w14:textId="77777777" w:rsidR="003C1D7A" w:rsidRPr="00A30154" w:rsidRDefault="003C1D7A" w:rsidP="003C1D7A">
            <w:pPr>
              <w:rPr>
                <w:rFonts w:ascii="Verdana" w:hAnsi="Verdana" w:cs="Arial"/>
                <w:sz w:val="16"/>
                <w:szCs w:val="16"/>
              </w:rPr>
            </w:pPr>
          </w:p>
        </w:tc>
        <w:tc>
          <w:tcPr>
            <w:tcW w:w="7342" w:type="dxa"/>
          </w:tcPr>
          <w:p w14:paraId="52313DA9" w14:textId="0E42D2C2" w:rsidR="003C1D7A" w:rsidRPr="00A30154" w:rsidRDefault="003C1D7A" w:rsidP="003C1D7A">
            <w:pPr>
              <w:rPr>
                <w:rFonts w:ascii="Verdana" w:hAnsi="Verdana"/>
                <w:sz w:val="16"/>
                <w:szCs w:val="16"/>
              </w:rPr>
            </w:pPr>
            <w:r w:rsidRPr="003C1D7A">
              <w:rPr>
                <w:rFonts w:ascii="Verdana" w:hAnsi="Verdana"/>
                <w:color w:val="E36C0A" w:themeColor="accent6" w:themeShade="BF"/>
                <w:sz w:val="16"/>
                <w:szCs w:val="16"/>
              </w:rPr>
              <w:t xml:space="preserve">As above </w:t>
            </w:r>
          </w:p>
        </w:tc>
      </w:tr>
      <w:tr w:rsidR="003C1D7A" w:rsidRPr="00A30154" w14:paraId="78B0C073" w14:textId="77777777" w:rsidTr="005032E1">
        <w:trPr>
          <w:trHeight w:val="932"/>
          <w:tblCellSpacing w:w="11" w:type="dxa"/>
        </w:trPr>
        <w:tc>
          <w:tcPr>
            <w:tcW w:w="748" w:type="dxa"/>
            <w:shd w:val="clear" w:color="auto" w:fill="F2F2F2" w:themeFill="background1" w:themeFillShade="F2"/>
          </w:tcPr>
          <w:p w14:paraId="07FAF17B" w14:textId="77777777" w:rsidR="003C1D7A" w:rsidRPr="00A30154" w:rsidRDefault="003C1D7A" w:rsidP="003C1D7A">
            <w:pPr>
              <w:jc w:val="center"/>
              <w:rPr>
                <w:rFonts w:ascii="Verdana" w:hAnsi="Verdana" w:cs="Arial"/>
                <w:b/>
                <w:sz w:val="16"/>
                <w:szCs w:val="16"/>
              </w:rPr>
            </w:pPr>
          </w:p>
          <w:p w14:paraId="410EBB5F" w14:textId="77777777" w:rsidR="003C1D7A" w:rsidRPr="00A30154" w:rsidRDefault="003C1D7A" w:rsidP="003C1D7A">
            <w:pPr>
              <w:jc w:val="center"/>
              <w:rPr>
                <w:rFonts w:ascii="Verdana" w:hAnsi="Verdana" w:cs="Arial"/>
                <w:b/>
                <w:sz w:val="16"/>
                <w:szCs w:val="16"/>
              </w:rPr>
            </w:pPr>
            <w:r w:rsidRPr="00A30154">
              <w:rPr>
                <w:rFonts w:ascii="Verdana" w:hAnsi="Verdana" w:cs="Arial"/>
                <w:b/>
                <w:sz w:val="16"/>
                <w:szCs w:val="16"/>
              </w:rPr>
              <w:t>2.2b</w:t>
            </w:r>
          </w:p>
        </w:tc>
        <w:tc>
          <w:tcPr>
            <w:tcW w:w="14494" w:type="dxa"/>
            <w:gridSpan w:val="2"/>
            <w:shd w:val="clear" w:color="auto" w:fill="F2F2F2" w:themeFill="background1" w:themeFillShade="F2"/>
          </w:tcPr>
          <w:p w14:paraId="6D37147C" w14:textId="77777777" w:rsidR="003C1D7A" w:rsidRPr="00A30154" w:rsidRDefault="003C1D7A" w:rsidP="003C1D7A">
            <w:pPr>
              <w:rPr>
                <w:rFonts w:ascii="Verdana" w:hAnsi="Verdana" w:cs="Arial"/>
                <w:b/>
                <w:sz w:val="16"/>
                <w:szCs w:val="16"/>
                <w:lang w:eastAsia="en-GB"/>
              </w:rPr>
            </w:pPr>
          </w:p>
          <w:p w14:paraId="7519C53E" w14:textId="77777777" w:rsidR="003C1D7A" w:rsidRPr="00A30154" w:rsidRDefault="003C1D7A" w:rsidP="003C1D7A">
            <w:pPr>
              <w:rPr>
                <w:rFonts w:ascii="Verdana" w:hAnsi="Verdana"/>
                <w:b/>
                <w:sz w:val="16"/>
                <w:szCs w:val="16"/>
              </w:rPr>
            </w:pPr>
            <w:r w:rsidRPr="00A30154">
              <w:rPr>
                <w:rFonts w:ascii="Verdana" w:hAnsi="Verdana" w:cs="Arial"/>
                <w:b/>
                <w:sz w:val="16"/>
                <w:szCs w:val="16"/>
                <w:lang w:eastAsia="en-GB"/>
              </w:rPr>
              <w:t>Registered providers must annually publish evidence in the statutory accounts to enable stakeholders to understand the provider’s measurable plans to address any areas of underperformance, including clearly stating any areas where improvements would not be appropriate and the rationale for this.</w:t>
            </w:r>
          </w:p>
        </w:tc>
      </w:tr>
      <w:tr w:rsidR="003C1D7A" w:rsidRPr="00A30154" w14:paraId="4D2DA3DA" w14:textId="77777777" w:rsidTr="003C1D7A">
        <w:trPr>
          <w:trHeight w:val="932"/>
          <w:tblCellSpacing w:w="11" w:type="dxa"/>
        </w:trPr>
        <w:tc>
          <w:tcPr>
            <w:tcW w:w="748" w:type="dxa"/>
            <w:shd w:val="clear" w:color="auto" w:fill="F2F2F2" w:themeFill="background1" w:themeFillShade="F2"/>
          </w:tcPr>
          <w:p w14:paraId="2FD3EF65"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25)</w:t>
            </w:r>
          </w:p>
        </w:tc>
        <w:tc>
          <w:tcPr>
            <w:tcW w:w="7130" w:type="dxa"/>
            <w:shd w:val="clear" w:color="auto" w:fill="F2F2F2" w:themeFill="background1" w:themeFillShade="F2"/>
          </w:tcPr>
          <w:p w14:paraId="7093B3A8" w14:textId="77777777" w:rsidR="003C1D7A" w:rsidRPr="00A30154" w:rsidRDefault="003C1D7A" w:rsidP="003C1D7A">
            <w:pPr>
              <w:rPr>
                <w:rFonts w:ascii="Verdana" w:hAnsi="Verdana" w:cs="Arial"/>
                <w:sz w:val="16"/>
                <w:szCs w:val="16"/>
              </w:rPr>
            </w:pPr>
            <w:r w:rsidRPr="00760075">
              <w:rPr>
                <w:rFonts w:ascii="Verdana" w:hAnsi="Verdana" w:cs="Arial"/>
                <w:sz w:val="16"/>
                <w:szCs w:val="16"/>
              </w:rPr>
              <w:t xml:space="preserve">Registered providers are required to publish reporting on the above in their statutory accounts </w:t>
            </w:r>
            <w:proofErr w:type="gramStart"/>
            <w:r w:rsidRPr="00760075">
              <w:rPr>
                <w:rFonts w:ascii="Verdana" w:hAnsi="Verdana" w:cs="Arial"/>
                <w:sz w:val="16"/>
                <w:szCs w:val="16"/>
              </w:rPr>
              <w:t>in a way that is clear</w:t>
            </w:r>
            <w:proofErr w:type="gramEnd"/>
            <w:r w:rsidRPr="00760075">
              <w:rPr>
                <w:rFonts w:ascii="Verdana" w:hAnsi="Verdana" w:cs="Arial"/>
                <w:sz w:val="16"/>
                <w:szCs w:val="16"/>
              </w:rPr>
              <w:t>, concise and appropriate to their stakeholders.</w:t>
            </w:r>
            <w:r w:rsidRPr="00760075">
              <w:rPr>
                <w:rFonts w:ascii="Verdana" w:hAnsi="Verdana" w:cs="Arial"/>
                <w:sz w:val="16"/>
                <w:szCs w:val="16"/>
              </w:rPr>
              <w:tab/>
            </w:r>
          </w:p>
        </w:tc>
        <w:tc>
          <w:tcPr>
            <w:tcW w:w="7342" w:type="dxa"/>
          </w:tcPr>
          <w:p w14:paraId="382A633B" w14:textId="5FBFEF52" w:rsidR="003C1D7A" w:rsidRPr="000C6B50" w:rsidRDefault="003C1D7A" w:rsidP="003C1D7A">
            <w:pPr>
              <w:pStyle w:val="CommentText"/>
              <w:rPr>
                <w:rFonts w:ascii="Verdana" w:hAnsi="Verdana"/>
                <w:sz w:val="16"/>
                <w:szCs w:val="16"/>
              </w:rPr>
            </w:pPr>
            <w:r w:rsidRPr="003C1D7A">
              <w:rPr>
                <w:rFonts w:ascii="Verdana" w:hAnsi="Verdana"/>
                <w:color w:val="E36C0A" w:themeColor="accent6" w:themeShade="BF"/>
                <w:sz w:val="16"/>
                <w:szCs w:val="16"/>
              </w:rPr>
              <w:t xml:space="preserve">As above </w:t>
            </w:r>
          </w:p>
        </w:tc>
      </w:tr>
      <w:tr w:rsidR="003C1D7A" w:rsidRPr="00A30154" w14:paraId="323E2453" w14:textId="77777777" w:rsidTr="003C1D7A">
        <w:trPr>
          <w:trHeight w:val="932"/>
          <w:tblCellSpacing w:w="11" w:type="dxa"/>
        </w:trPr>
        <w:tc>
          <w:tcPr>
            <w:tcW w:w="748" w:type="dxa"/>
            <w:shd w:val="clear" w:color="auto" w:fill="F2F2F2" w:themeFill="background1" w:themeFillShade="F2"/>
          </w:tcPr>
          <w:p w14:paraId="6AF3BEBB" w14:textId="77777777" w:rsidR="003C1D7A" w:rsidRPr="00A30154" w:rsidRDefault="003C1D7A" w:rsidP="003C1D7A">
            <w:pPr>
              <w:jc w:val="center"/>
              <w:rPr>
                <w:rFonts w:ascii="Verdana" w:hAnsi="Verdana" w:cs="Arial"/>
                <w:sz w:val="16"/>
                <w:szCs w:val="16"/>
              </w:rPr>
            </w:pPr>
            <w:r w:rsidRPr="00A30154">
              <w:rPr>
                <w:rFonts w:ascii="Verdana" w:hAnsi="Verdana" w:cs="Arial"/>
                <w:sz w:val="16"/>
                <w:szCs w:val="16"/>
              </w:rPr>
              <w:t>26)</w:t>
            </w:r>
          </w:p>
        </w:tc>
        <w:tc>
          <w:tcPr>
            <w:tcW w:w="7130" w:type="dxa"/>
            <w:shd w:val="clear" w:color="auto" w:fill="F2F2F2" w:themeFill="background1" w:themeFillShade="F2"/>
          </w:tcPr>
          <w:p w14:paraId="23E8F24A" w14:textId="77777777" w:rsidR="003C1D7A" w:rsidRPr="00760075" w:rsidRDefault="003C1D7A" w:rsidP="003C1D7A">
            <w:pPr>
              <w:rPr>
                <w:rFonts w:ascii="Verdana" w:hAnsi="Verdana" w:cs="Arial"/>
                <w:sz w:val="16"/>
                <w:szCs w:val="16"/>
              </w:rPr>
            </w:pPr>
            <w:r w:rsidRPr="00760075">
              <w:rPr>
                <w:rFonts w:ascii="Verdana" w:hAnsi="Verdana" w:cs="Arial"/>
                <w:sz w:val="16"/>
                <w:szCs w:val="16"/>
              </w:rPr>
              <w:t>Registered providers are, in addition to the reporting in the annual accounts, free to report outside of these accounts in any way they see fit if they consider this increases transparency with stakeholders.</w:t>
            </w:r>
          </w:p>
        </w:tc>
        <w:tc>
          <w:tcPr>
            <w:tcW w:w="7342" w:type="dxa"/>
          </w:tcPr>
          <w:p w14:paraId="78BE292A" w14:textId="614CF50E" w:rsidR="003C1D7A" w:rsidRPr="00A30154" w:rsidRDefault="003C1D7A" w:rsidP="003C1D7A">
            <w:pPr>
              <w:rPr>
                <w:rFonts w:ascii="Verdana" w:hAnsi="Verdana"/>
                <w:sz w:val="16"/>
                <w:szCs w:val="16"/>
              </w:rPr>
            </w:pPr>
            <w:r w:rsidRPr="003C1D7A">
              <w:rPr>
                <w:rFonts w:ascii="Verdana" w:hAnsi="Verdana"/>
                <w:color w:val="E36C0A" w:themeColor="accent6" w:themeShade="BF"/>
                <w:sz w:val="16"/>
                <w:szCs w:val="16"/>
              </w:rPr>
              <w:t xml:space="preserve">As above </w:t>
            </w:r>
          </w:p>
        </w:tc>
      </w:tr>
    </w:tbl>
    <w:p w14:paraId="15044591" w14:textId="77777777" w:rsidR="00C75975" w:rsidRPr="001E7687" w:rsidRDefault="00C75975" w:rsidP="00DA34CD">
      <w:pPr>
        <w:spacing w:line="240" w:lineRule="auto"/>
        <w:rPr>
          <w:sz w:val="6"/>
        </w:rPr>
      </w:pPr>
      <w:r>
        <w:tab/>
      </w:r>
    </w:p>
    <w:tbl>
      <w:tblPr>
        <w:tblStyle w:val="TableGrid3"/>
        <w:tblW w:w="15675" w:type="dxa"/>
        <w:tblInd w:w="29"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ayout w:type="fixed"/>
        <w:tblLook w:val="04A0" w:firstRow="1" w:lastRow="0" w:firstColumn="1" w:lastColumn="0" w:noHBand="0" w:noVBand="1"/>
      </w:tblPr>
      <w:tblGrid>
        <w:gridCol w:w="3198"/>
        <w:gridCol w:w="2694"/>
        <w:gridCol w:w="1701"/>
        <w:gridCol w:w="3261"/>
        <w:gridCol w:w="284"/>
        <w:gridCol w:w="2694"/>
        <w:gridCol w:w="1843"/>
      </w:tblGrid>
      <w:tr w:rsidR="00D87461" w:rsidRPr="00D87461" w14:paraId="4627E3B2" w14:textId="77777777" w:rsidTr="003C1D7A">
        <w:trPr>
          <w:trHeight w:val="380"/>
        </w:trPr>
        <w:tc>
          <w:tcPr>
            <w:tcW w:w="10854" w:type="dxa"/>
            <w:gridSpan w:val="4"/>
            <w:vMerge w:val="restart"/>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FFFFF" w:themeFill="background1"/>
          </w:tcPr>
          <w:p w14:paraId="5FED951B" w14:textId="77777777" w:rsidR="00D87461" w:rsidRPr="00D87461" w:rsidRDefault="00D87461" w:rsidP="00DA34CD">
            <w:pPr>
              <w:jc w:val="center"/>
              <w:rPr>
                <w:b/>
                <w:i/>
                <w:sz w:val="20"/>
                <w:szCs w:val="20"/>
              </w:rPr>
            </w:pPr>
          </w:p>
          <w:p w14:paraId="387E06F3" w14:textId="41B5396F" w:rsidR="00D87461" w:rsidRPr="00D87461" w:rsidRDefault="00D87461" w:rsidP="00DA34CD">
            <w:pPr>
              <w:spacing w:after="200"/>
              <w:jc w:val="center"/>
              <w:rPr>
                <w:b/>
                <w:i/>
                <w:sz w:val="20"/>
                <w:szCs w:val="20"/>
              </w:rPr>
            </w:pPr>
            <w:r w:rsidRPr="00D87461">
              <w:rPr>
                <w:b/>
                <w:bCs/>
                <w:i/>
                <w:iCs/>
                <w:sz w:val="20"/>
                <w:szCs w:val="20"/>
              </w:rPr>
              <w:t xml:space="preserve">I confirm that the information and supporting evidence provided within this compliance </w:t>
            </w:r>
            <w:r w:rsidR="00EA372A" w:rsidRPr="00D87461">
              <w:rPr>
                <w:b/>
                <w:bCs/>
                <w:i/>
                <w:iCs/>
                <w:sz w:val="20"/>
                <w:szCs w:val="20"/>
              </w:rPr>
              <w:t>self-assessment</w:t>
            </w:r>
            <w:r w:rsidRPr="00D87461">
              <w:rPr>
                <w:b/>
                <w:bCs/>
                <w:i/>
                <w:iCs/>
                <w:sz w:val="20"/>
                <w:szCs w:val="20"/>
              </w:rPr>
              <w:t xml:space="preserve"> is up to date and accurate to the best of my knowledge.  There are no areas of </w:t>
            </w:r>
            <w:r w:rsidR="00EA372A" w:rsidRPr="00D87461">
              <w:rPr>
                <w:b/>
                <w:bCs/>
                <w:i/>
                <w:iCs/>
                <w:sz w:val="20"/>
                <w:szCs w:val="20"/>
              </w:rPr>
              <w:t>non-compliance</w:t>
            </w:r>
            <w:r w:rsidRPr="00D87461">
              <w:rPr>
                <w:b/>
                <w:bCs/>
                <w:i/>
                <w:iCs/>
                <w:sz w:val="20"/>
                <w:szCs w:val="20"/>
              </w:rPr>
              <w:t xml:space="preserve"> /omissions that I am aware </w:t>
            </w:r>
            <w:proofErr w:type="gramStart"/>
            <w:r w:rsidR="00EA372A" w:rsidRPr="00D87461">
              <w:rPr>
                <w:b/>
                <w:bCs/>
                <w:i/>
                <w:iCs/>
                <w:sz w:val="20"/>
                <w:szCs w:val="20"/>
              </w:rPr>
              <w:t>of</w:t>
            </w:r>
            <w:proofErr w:type="gramEnd"/>
            <w:r w:rsidRPr="00D87461">
              <w:rPr>
                <w:b/>
                <w:bCs/>
                <w:i/>
                <w:iCs/>
                <w:sz w:val="20"/>
                <w:szCs w:val="20"/>
              </w:rPr>
              <w:t xml:space="preserve"> and all reasonable steps have been taken to ensure compliance with law relating to these areas.</w:t>
            </w:r>
          </w:p>
        </w:tc>
        <w:tc>
          <w:tcPr>
            <w:tcW w:w="284" w:type="dxa"/>
            <w:vMerge w:val="restart"/>
            <w:tcBorders>
              <w:top w:val="double" w:sz="4" w:space="0" w:color="FFFFFF" w:themeColor="background1"/>
              <w:left w:val="double" w:sz="4" w:space="0" w:color="A6A6A6" w:themeColor="background1" w:themeShade="A6"/>
              <w:bottom w:val="double" w:sz="4" w:space="0" w:color="FFFFFF" w:themeColor="background1"/>
              <w:right w:val="nil"/>
            </w:tcBorders>
            <w:shd w:val="clear" w:color="auto" w:fill="FFFFFF" w:themeFill="background1"/>
          </w:tcPr>
          <w:p w14:paraId="55DD5F75" w14:textId="77777777" w:rsidR="00D87461" w:rsidRPr="00D87461" w:rsidRDefault="00D87461" w:rsidP="00DA34CD">
            <w:pPr>
              <w:jc w:val="center"/>
              <w:rPr>
                <w:b/>
                <w:i/>
                <w:sz w:val="20"/>
                <w:szCs w:val="20"/>
              </w:rPr>
            </w:pPr>
          </w:p>
        </w:tc>
        <w:tc>
          <w:tcPr>
            <w:tcW w:w="2694" w:type="dxa"/>
            <w:tcBorders>
              <w:top w:val="nil"/>
              <w:left w:val="nil"/>
              <w:bottom w:val="double" w:sz="4" w:space="0" w:color="A6A6A6" w:themeColor="background1" w:themeShade="A6"/>
              <w:right w:val="double" w:sz="4" w:space="0" w:color="A6A6A6" w:themeColor="background1" w:themeShade="A6"/>
            </w:tcBorders>
            <w:shd w:val="clear" w:color="auto" w:fill="FFFFFF" w:themeFill="background1"/>
          </w:tcPr>
          <w:p w14:paraId="28A3FAC6" w14:textId="77777777" w:rsidR="00D87461" w:rsidRPr="00D87461" w:rsidRDefault="00D87461" w:rsidP="00DA34CD">
            <w:pPr>
              <w:jc w:val="center"/>
              <w:rPr>
                <w:sz w:val="20"/>
                <w:szCs w:val="20"/>
              </w:rPr>
            </w:pPr>
          </w:p>
        </w:tc>
        <w:tc>
          <w:tcPr>
            <w:tcW w:w="184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8064A2" w:themeFill="accent4"/>
            <w:hideMark/>
          </w:tcPr>
          <w:p w14:paraId="35D84DA8" w14:textId="77777777" w:rsidR="00D87461" w:rsidRPr="00D87461" w:rsidRDefault="00D87461" w:rsidP="00DA34CD">
            <w:pPr>
              <w:jc w:val="center"/>
              <w:rPr>
                <w:b/>
                <w:sz w:val="20"/>
                <w:szCs w:val="20"/>
              </w:rPr>
            </w:pPr>
            <w:r w:rsidRPr="0038438B">
              <w:rPr>
                <w:b/>
                <w:color w:val="FFFFFF" w:themeColor="background1"/>
                <w:sz w:val="20"/>
                <w:szCs w:val="20"/>
              </w:rPr>
              <w:t>Dates</w:t>
            </w:r>
            <w:r w:rsidRPr="00D87461">
              <w:rPr>
                <w:b/>
                <w:sz w:val="20"/>
                <w:szCs w:val="20"/>
              </w:rPr>
              <w:t xml:space="preserve"> </w:t>
            </w:r>
            <w:r w:rsidRPr="0038438B">
              <w:rPr>
                <w:b/>
                <w:color w:val="FFFFFF" w:themeColor="background1"/>
                <w:sz w:val="20"/>
                <w:szCs w:val="20"/>
              </w:rPr>
              <w:t xml:space="preserve">presented </w:t>
            </w:r>
          </w:p>
        </w:tc>
      </w:tr>
      <w:tr w:rsidR="00D87461" w:rsidRPr="00D87461" w14:paraId="62AB55B5" w14:textId="77777777" w:rsidTr="003C1D7A">
        <w:trPr>
          <w:trHeight w:val="165"/>
        </w:trPr>
        <w:tc>
          <w:tcPr>
            <w:tcW w:w="10854" w:type="dxa"/>
            <w:gridSpan w:val="4"/>
            <w:vMerge/>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hideMark/>
          </w:tcPr>
          <w:p w14:paraId="03571050" w14:textId="77777777" w:rsidR="00D87461" w:rsidRPr="00D87461" w:rsidRDefault="00D87461" w:rsidP="00DA34CD">
            <w:pPr>
              <w:rPr>
                <w:b/>
                <w:i/>
                <w:sz w:val="20"/>
                <w:szCs w:val="20"/>
              </w:rPr>
            </w:pPr>
          </w:p>
        </w:tc>
        <w:tc>
          <w:tcPr>
            <w:tcW w:w="284" w:type="dxa"/>
            <w:vMerge/>
            <w:tcBorders>
              <w:top w:val="double" w:sz="4" w:space="0" w:color="FFFFFF" w:themeColor="background1"/>
              <w:left w:val="double" w:sz="4" w:space="0" w:color="A6A6A6" w:themeColor="background1" w:themeShade="A6"/>
              <w:bottom w:val="double" w:sz="4" w:space="0" w:color="FFFFFF" w:themeColor="background1"/>
              <w:right w:val="nil"/>
            </w:tcBorders>
            <w:vAlign w:val="center"/>
            <w:hideMark/>
          </w:tcPr>
          <w:p w14:paraId="3E198F13" w14:textId="77777777" w:rsidR="00D87461" w:rsidRPr="00D87461" w:rsidRDefault="00D87461" w:rsidP="00DA34CD">
            <w:pPr>
              <w:rPr>
                <w:b/>
                <w:i/>
                <w:sz w:val="20"/>
                <w:szCs w:val="20"/>
              </w:rPr>
            </w:pPr>
          </w:p>
        </w:tc>
        <w:tc>
          <w:tcPr>
            <w:tcW w:w="269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D9D9D9" w:themeFill="background1" w:themeFillShade="D9"/>
          </w:tcPr>
          <w:p w14:paraId="7592A6B6" w14:textId="63630440" w:rsidR="00D87461" w:rsidRPr="00D87461" w:rsidRDefault="003C1D7A" w:rsidP="00DA34CD">
            <w:pPr>
              <w:rPr>
                <w:sz w:val="20"/>
                <w:szCs w:val="20"/>
              </w:rPr>
            </w:pPr>
            <w:r>
              <w:rPr>
                <w:sz w:val="20"/>
                <w:szCs w:val="20"/>
              </w:rPr>
              <w:t xml:space="preserve">Groups presented to </w:t>
            </w:r>
          </w:p>
        </w:tc>
        <w:tc>
          <w:tcPr>
            <w:tcW w:w="184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FFFFF" w:themeFill="background1"/>
          </w:tcPr>
          <w:p w14:paraId="16129A04" w14:textId="2BE8ADC0" w:rsidR="00D87461" w:rsidRPr="00D87461" w:rsidRDefault="001D06F5" w:rsidP="00DA34CD">
            <w:pPr>
              <w:jc w:val="center"/>
              <w:rPr>
                <w:sz w:val="20"/>
                <w:szCs w:val="20"/>
              </w:rPr>
            </w:pPr>
            <w:r>
              <w:rPr>
                <w:sz w:val="20"/>
                <w:szCs w:val="20"/>
              </w:rPr>
              <w:t xml:space="preserve"> </w:t>
            </w:r>
          </w:p>
        </w:tc>
      </w:tr>
      <w:tr w:rsidR="00D87461" w:rsidRPr="00D87461" w14:paraId="254F72FA" w14:textId="77777777" w:rsidTr="003C1D7A">
        <w:trPr>
          <w:trHeight w:val="165"/>
        </w:trPr>
        <w:tc>
          <w:tcPr>
            <w:tcW w:w="10854" w:type="dxa"/>
            <w:gridSpan w:val="4"/>
            <w:vMerge/>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hideMark/>
          </w:tcPr>
          <w:p w14:paraId="6203DAD1" w14:textId="77777777" w:rsidR="00D87461" w:rsidRPr="00D87461" w:rsidRDefault="00D87461" w:rsidP="00DA34CD">
            <w:pPr>
              <w:rPr>
                <w:b/>
                <w:i/>
                <w:sz w:val="20"/>
                <w:szCs w:val="20"/>
              </w:rPr>
            </w:pPr>
          </w:p>
        </w:tc>
        <w:tc>
          <w:tcPr>
            <w:tcW w:w="284" w:type="dxa"/>
            <w:vMerge/>
            <w:tcBorders>
              <w:top w:val="double" w:sz="4" w:space="0" w:color="FFFFFF" w:themeColor="background1"/>
              <w:left w:val="double" w:sz="4" w:space="0" w:color="A6A6A6" w:themeColor="background1" w:themeShade="A6"/>
              <w:bottom w:val="double" w:sz="4" w:space="0" w:color="FFFFFF" w:themeColor="background1"/>
              <w:right w:val="nil"/>
            </w:tcBorders>
            <w:vAlign w:val="center"/>
            <w:hideMark/>
          </w:tcPr>
          <w:p w14:paraId="48EE6A81" w14:textId="77777777" w:rsidR="00D87461" w:rsidRPr="00D87461" w:rsidRDefault="00D87461" w:rsidP="00DA34CD">
            <w:pPr>
              <w:rPr>
                <w:b/>
                <w:i/>
                <w:sz w:val="20"/>
                <w:szCs w:val="20"/>
              </w:rPr>
            </w:pPr>
          </w:p>
        </w:tc>
        <w:tc>
          <w:tcPr>
            <w:tcW w:w="269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D9D9D9" w:themeFill="background1" w:themeFillShade="D9"/>
          </w:tcPr>
          <w:p w14:paraId="7D78A3E3" w14:textId="42688850" w:rsidR="00D87461" w:rsidRPr="00EE6311" w:rsidRDefault="00D87461" w:rsidP="00DA34CD">
            <w:pPr>
              <w:rPr>
                <w:sz w:val="20"/>
                <w:szCs w:val="20"/>
              </w:rPr>
            </w:pPr>
          </w:p>
        </w:tc>
        <w:tc>
          <w:tcPr>
            <w:tcW w:w="184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FFFFF" w:themeFill="background1"/>
          </w:tcPr>
          <w:p w14:paraId="1834312E" w14:textId="185E743F" w:rsidR="00D87461" w:rsidRPr="00D87461" w:rsidRDefault="00D87461" w:rsidP="00DA34CD">
            <w:pPr>
              <w:jc w:val="center"/>
              <w:rPr>
                <w:sz w:val="20"/>
                <w:szCs w:val="20"/>
              </w:rPr>
            </w:pPr>
          </w:p>
        </w:tc>
      </w:tr>
      <w:tr w:rsidR="00D87461" w:rsidRPr="00D87461" w14:paraId="249542FE" w14:textId="77777777" w:rsidTr="003C1D7A">
        <w:trPr>
          <w:trHeight w:val="43"/>
        </w:trPr>
        <w:tc>
          <w:tcPr>
            <w:tcW w:w="10854" w:type="dxa"/>
            <w:gridSpan w:val="4"/>
            <w:vMerge/>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hideMark/>
          </w:tcPr>
          <w:p w14:paraId="73FA9C4F" w14:textId="77777777" w:rsidR="00D87461" w:rsidRPr="00D87461" w:rsidRDefault="00D87461" w:rsidP="00DA34CD">
            <w:pPr>
              <w:rPr>
                <w:b/>
                <w:i/>
                <w:sz w:val="20"/>
                <w:szCs w:val="20"/>
              </w:rPr>
            </w:pPr>
          </w:p>
        </w:tc>
        <w:tc>
          <w:tcPr>
            <w:tcW w:w="284" w:type="dxa"/>
            <w:vMerge/>
            <w:tcBorders>
              <w:top w:val="double" w:sz="4" w:space="0" w:color="FFFFFF" w:themeColor="background1"/>
              <w:left w:val="double" w:sz="4" w:space="0" w:color="A6A6A6" w:themeColor="background1" w:themeShade="A6"/>
              <w:bottom w:val="double" w:sz="4" w:space="0" w:color="FFFFFF" w:themeColor="background1"/>
              <w:right w:val="nil"/>
            </w:tcBorders>
            <w:vAlign w:val="center"/>
            <w:hideMark/>
          </w:tcPr>
          <w:p w14:paraId="704B8B71" w14:textId="77777777" w:rsidR="00D87461" w:rsidRPr="00D87461" w:rsidRDefault="00D87461" w:rsidP="00DA34CD">
            <w:pPr>
              <w:rPr>
                <w:b/>
                <w:i/>
                <w:sz w:val="20"/>
                <w:szCs w:val="20"/>
              </w:rPr>
            </w:pPr>
          </w:p>
        </w:tc>
        <w:tc>
          <w:tcPr>
            <w:tcW w:w="269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D9D9D9" w:themeFill="background1" w:themeFillShade="D9"/>
          </w:tcPr>
          <w:p w14:paraId="1D315AED" w14:textId="3F42328A" w:rsidR="00D87461" w:rsidRPr="00D87461" w:rsidRDefault="00D87461" w:rsidP="00DA34CD">
            <w:pPr>
              <w:rPr>
                <w:sz w:val="20"/>
                <w:szCs w:val="20"/>
              </w:rPr>
            </w:pPr>
          </w:p>
        </w:tc>
        <w:tc>
          <w:tcPr>
            <w:tcW w:w="184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FFFFF" w:themeFill="background1"/>
          </w:tcPr>
          <w:p w14:paraId="0979E6BB" w14:textId="7A9E5206" w:rsidR="00D87461" w:rsidRPr="00D87461" w:rsidRDefault="00D87461" w:rsidP="00DA34CD">
            <w:pPr>
              <w:jc w:val="center"/>
              <w:rPr>
                <w:sz w:val="20"/>
                <w:szCs w:val="20"/>
              </w:rPr>
            </w:pPr>
          </w:p>
        </w:tc>
      </w:tr>
      <w:tr w:rsidR="00D87461" w:rsidRPr="00D87461" w14:paraId="52FD1BC0" w14:textId="77777777" w:rsidTr="003C1D7A">
        <w:trPr>
          <w:trHeight w:val="218"/>
        </w:trPr>
        <w:tc>
          <w:tcPr>
            <w:tcW w:w="3198" w:type="dxa"/>
            <w:vMerge w:val="restart"/>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DBE5F1" w:themeFill="accent1" w:themeFillTint="33"/>
            <w:vAlign w:val="center"/>
            <w:hideMark/>
          </w:tcPr>
          <w:p w14:paraId="0D37C073" w14:textId="77777777" w:rsidR="00D87461" w:rsidRPr="00D87461" w:rsidRDefault="00D87461" w:rsidP="00DA34CD">
            <w:pPr>
              <w:jc w:val="center"/>
              <w:rPr>
                <w:b/>
                <w:sz w:val="20"/>
                <w:szCs w:val="20"/>
              </w:rPr>
            </w:pPr>
            <w:r w:rsidRPr="00D87461">
              <w:rPr>
                <w:b/>
                <w:sz w:val="20"/>
                <w:szCs w:val="20"/>
              </w:rPr>
              <w:t>Leader Manager (s)</w:t>
            </w:r>
          </w:p>
        </w:tc>
        <w:tc>
          <w:tcPr>
            <w:tcW w:w="2694" w:type="dxa"/>
            <w:vMerge w:val="restart"/>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DBE5F1" w:themeFill="accent1" w:themeFillTint="33"/>
            <w:vAlign w:val="center"/>
            <w:hideMark/>
          </w:tcPr>
          <w:p w14:paraId="2EDEBBC4" w14:textId="77777777" w:rsidR="00D87461" w:rsidRPr="00D87461" w:rsidRDefault="00D87461" w:rsidP="00DA34CD">
            <w:pPr>
              <w:jc w:val="center"/>
              <w:rPr>
                <w:b/>
                <w:i/>
                <w:sz w:val="20"/>
                <w:szCs w:val="20"/>
              </w:rPr>
            </w:pPr>
            <w:r w:rsidRPr="00D87461">
              <w:rPr>
                <w:b/>
                <w:i/>
                <w:sz w:val="20"/>
                <w:szCs w:val="20"/>
              </w:rPr>
              <w:t>Ref No.</w:t>
            </w:r>
          </w:p>
        </w:tc>
        <w:tc>
          <w:tcPr>
            <w:tcW w:w="1701" w:type="dxa"/>
            <w:vMerge w:val="restart"/>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DBE5F1" w:themeFill="accent1" w:themeFillTint="33"/>
            <w:vAlign w:val="center"/>
            <w:hideMark/>
          </w:tcPr>
          <w:p w14:paraId="31D62CB0" w14:textId="77777777" w:rsidR="00D87461" w:rsidRPr="00D87461" w:rsidRDefault="00D87461" w:rsidP="00DA34CD">
            <w:pPr>
              <w:jc w:val="center"/>
              <w:rPr>
                <w:b/>
                <w:i/>
                <w:sz w:val="20"/>
                <w:szCs w:val="20"/>
              </w:rPr>
            </w:pPr>
            <w:r w:rsidRPr="00D87461">
              <w:rPr>
                <w:b/>
                <w:i/>
                <w:sz w:val="20"/>
                <w:szCs w:val="20"/>
              </w:rPr>
              <w:t>Date</w:t>
            </w:r>
          </w:p>
        </w:tc>
        <w:tc>
          <w:tcPr>
            <w:tcW w:w="3261" w:type="dxa"/>
            <w:vMerge w:val="restart"/>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DBE5F1" w:themeFill="accent1" w:themeFillTint="33"/>
            <w:vAlign w:val="center"/>
            <w:hideMark/>
          </w:tcPr>
          <w:p w14:paraId="007D37A7" w14:textId="77777777" w:rsidR="00D87461" w:rsidRPr="00D87461" w:rsidRDefault="00D87461" w:rsidP="00DA34CD">
            <w:pPr>
              <w:jc w:val="center"/>
              <w:rPr>
                <w:b/>
                <w:i/>
                <w:sz w:val="20"/>
                <w:szCs w:val="20"/>
              </w:rPr>
            </w:pPr>
            <w:r w:rsidRPr="00D87461">
              <w:rPr>
                <w:b/>
                <w:i/>
                <w:sz w:val="20"/>
                <w:szCs w:val="20"/>
              </w:rPr>
              <w:t>Signature</w:t>
            </w:r>
          </w:p>
        </w:tc>
        <w:tc>
          <w:tcPr>
            <w:tcW w:w="284" w:type="dxa"/>
            <w:vMerge w:val="restart"/>
            <w:tcBorders>
              <w:top w:val="double" w:sz="4" w:space="0" w:color="FFFFFF" w:themeColor="background1"/>
              <w:left w:val="double" w:sz="4" w:space="0" w:color="A6A6A6" w:themeColor="background1" w:themeShade="A6"/>
              <w:bottom w:val="double" w:sz="4" w:space="0" w:color="FFFFFF" w:themeColor="background1"/>
              <w:right w:val="double" w:sz="4" w:space="0" w:color="A6A6A6" w:themeColor="background1" w:themeShade="A6"/>
            </w:tcBorders>
          </w:tcPr>
          <w:p w14:paraId="5ECCC1BB" w14:textId="77777777" w:rsidR="00D87461" w:rsidRPr="00D87461" w:rsidRDefault="00D87461" w:rsidP="00DA34CD">
            <w:pPr>
              <w:jc w:val="center"/>
              <w:rPr>
                <w:b/>
                <w:i/>
                <w:sz w:val="20"/>
                <w:szCs w:val="20"/>
              </w:rPr>
            </w:pPr>
          </w:p>
        </w:tc>
        <w:tc>
          <w:tcPr>
            <w:tcW w:w="2694" w:type="dxa"/>
            <w:tcBorders>
              <w:top w:val="double" w:sz="4" w:space="0" w:color="A6A6A6" w:themeColor="background1" w:themeShade="A6"/>
              <w:left w:val="double" w:sz="4" w:space="0" w:color="A6A6A6" w:themeColor="background1" w:themeShade="A6"/>
              <w:bottom w:val="double" w:sz="4" w:space="0" w:color="BFBFBF" w:themeColor="background1" w:themeShade="BF"/>
              <w:right w:val="double" w:sz="4" w:space="0" w:color="A6A6A6" w:themeColor="background1" w:themeShade="A6"/>
            </w:tcBorders>
            <w:shd w:val="clear" w:color="auto" w:fill="D9D9D9" w:themeFill="background1" w:themeFillShade="D9"/>
          </w:tcPr>
          <w:p w14:paraId="70310863" w14:textId="6999AAED" w:rsidR="00D87461" w:rsidRPr="00D87461" w:rsidRDefault="00D87461" w:rsidP="00DA34CD">
            <w:pPr>
              <w:rPr>
                <w:sz w:val="20"/>
                <w:szCs w:val="20"/>
              </w:rPr>
            </w:pPr>
          </w:p>
        </w:tc>
        <w:tc>
          <w:tcPr>
            <w:tcW w:w="1843" w:type="dxa"/>
            <w:tcBorders>
              <w:top w:val="double" w:sz="4" w:space="0" w:color="A6A6A6" w:themeColor="background1" w:themeShade="A6"/>
              <w:left w:val="double" w:sz="4" w:space="0" w:color="A6A6A6" w:themeColor="background1" w:themeShade="A6"/>
              <w:bottom w:val="double" w:sz="4" w:space="0" w:color="BFBFBF" w:themeColor="background1" w:themeShade="BF"/>
              <w:right w:val="double" w:sz="4" w:space="0" w:color="A6A6A6" w:themeColor="background1" w:themeShade="A6"/>
            </w:tcBorders>
          </w:tcPr>
          <w:p w14:paraId="241BA106" w14:textId="26BDB8C7" w:rsidR="00D87461" w:rsidRPr="00D87461" w:rsidRDefault="00D87461" w:rsidP="00DA34CD">
            <w:pPr>
              <w:jc w:val="center"/>
              <w:rPr>
                <w:sz w:val="20"/>
                <w:szCs w:val="20"/>
              </w:rPr>
            </w:pPr>
          </w:p>
        </w:tc>
      </w:tr>
      <w:tr w:rsidR="00EE6311" w:rsidRPr="00D87461" w14:paraId="5B68CE55" w14:textId="77777777" w:rsidTr="003C1D7A">
        <w:trPr>
          <w:trHeight w:val="81"/>
        </w:trPr>
        <w:tc>
          <w:tcPr>
            <w:tcW w:w="3198" w:type="dxa"/>
            <w:vMerge/>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DBE5F1" w:themeFill="accent1" w:themeFillTint="33"/>
            <w:vAlign w:val="center"/>
            <w:hideMark/>
          </w:tcPr>
          <w:p w14:paraId="531E73E8" w14:textId="77777777" w:rsidR="00EE6311" w:rsidRPr="00D87461" w:rsidRDefault="00EE6311" w:rsidP="00DA34CD">
            <w:pPr>
              <w:rPr>
                <w:b/>
                <w:sz w:val="20"/>
                <w:szCs w:val="20"/>
              </w:rPr>
            </w:pPr>
          </w:p>
        </w:tc>
        <w:tc>
          <w:tcPr>
            <w:tcW w:w="2694" w:type="dxa"/>
            <w:vMerge/>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DBE5F1" w:themeFill="accent1" w:themeFillTint="33"/>
            <w:vAlign w:val="center"/>
            <w:hideMark/>
          </w:tcPr>
          <w:p w14:paraId="52517F58" w14:textId="77777777" w:rsidR="00EE6311" w:rsidRPr="00D87461" w:rsidRDefault="00EE6311" w:rsidP="00DA34CD">
            <w:pPr>
              <w:rPr>
                <w:b/>
                <w:i/>
                <w:sz w:val="20"/>
                <w:szCs w:val="20"/>
              </w:rPr>
            </w:pPr>
          </w:p>
        </w:tc>
        <w:tc>
          <w:tcPr>
            <w:tcW w:w="1701" w:type="dxa"/>
            <w:vMerge/>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DBE5F1" w:themeFill="accent1" w:themeFillTint="33"/>
            <w:vAlign w:val="center"/>
            <w:hideMark/>
          </w:tcPr>
          <w:p w14:paraId="1B8F3AAC" w14:textId="77777777" w:rsidR="00EE6311" w:rsidRPr="00D87461" w:rsidRDefault="00EE6311" w:rsidP="00DA34CD">
            <w:pPr>
              <w:rPr>
                <w:b/>
                <w:i/>
                <w:sz w:val="20"/>
                <w:szCs w:val="20"/>
              </w:rPr>
            </w:pPr>
          </w:p>
        </w:tc>
        <w:tc>
          <w:tcPr>
            <w:tcW w:w="3261" w:type="dxa"/>
            <w:vMerge/>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DBE5F1" w:themeFill="accent1" w:themeFillTint="33"/>
            <w:vAlign w:val="center"/>
            <w:hideMark/>
          </w:tcPr>
          <w:p w14:paraId="60CA9AF2" w14:textId="77777777" w:rsidR="00EE6311" w:rsidRPr="00D87461" w:rsidRDefault="00EE6311" w:rsidP="00DA34CD">
            <w:pPr>
              <w:rPr>
                <w:b/>
                <w:i/>
                <w:sz w:val="20"/>
                <w:szCs w:val="20"/>
              </w:rPr>
            </w:pPr>
          </w:p>
        </w:tc>
        <w:tc>
          <w:tcPr>
            <w:tcW w:w="284" w:type="dxa"/>
            <w:vMerge/>
            <w:tcBorders>
              <w:top w:val="double" w:sz="4" w:space="0" w:color="FFFFFF" w:themeColor="background1"/>
              <w:left w:val="double" w:sz="4" w:space="0" w:color="A6A6A6" w:themeColor="background1" w:themeShade="A6"/>
              <w:bottom w:val="double" w:sz="4" w:space="0" w:color="FFFFFF" w:themeColor="background1"/>
              <w:right w:val="double" w:sz="4" w:space="0" w:color="A6A6A6" w:themeColor="background1" w:themeShade="A6"/>
            </w:tcBorders>
            <w:vAlign w:val="center"/>
            <w:hideMark/>
          </w:tcPr>
          <w:p w14:paraId="57A7142C" w14:textId="77777777" w:rsidR="00EE6311" w:rsidRPr="00D87461" w:rsidRDefault="00EE6311" w:rsidP="00DA34CD">
            <w:pPr>
              <w:rPr>
                <w:b/>
                <w:i/>
                <w:sz w:val="20"/>
                <w:szCs w:val="20"/>
              </w:rPr>
            </w:pPr>
          </w:p>
        </w:tc>
        <w:tc>
          <w:tcPr>
            <w:tcW w:w="2694"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tcPr>
          <w:p w14:paraId="3FBDC928" w14:textId="473F3B49" w:rsidR="00EE6311" w:rsidRPr="00D87461" w:rsidRDefault="00EE6311" w:rsidP="00DA34CD">
            <w:pPr>
              <w:rPr>
                <w:sz w:val="20"/>
                <w:szCs w:val="20"/>
              </w:rPr>
            </w:pPr>
          </w:p>
        </w:tc>
        <w:tc>
          <w:tcPr>
            <w:tcW w:w="184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tcPr>
          <w:p w14:paraId="6EDACFF5" w14:textId="576662DD" w:rsidR="00EE6311" w:rsidRPr="00D87461" w:rsidRDefault="00EE6311" w:rsidP="00DA34CD">
            <w:pPr>
              <w:jc w:val="center"/>
              <w:rPr>
                <w:sz w:val="20"/>
                <w:szCs w:val="20"/>
              </w:rPr>
            </w:pPr>
          </w:p>
        </w:tc>
      </w:tr>
      <w:tr w:rsidR="00EE6311" w:rsidRPr="00D87461" w14:paraId="2C219364" w14:textId="77777777" w:rsidTr="003C1D7A">
        <w:trPr>
          <w:trHeight w:val="356"/>
        </w:trPr>
        <w:tc>
          <w:tcPr>
            <w:tcW w:w="319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5EC0751C" w14:textId="3543D066" w:rsidR="00EE6311" w:rsidRPr="00D87461" w:rsidRDefault="00EE6311" w:rsidP="00DA34CD">
            <w:pPr>
              <w:rPr>
                <w:b/>
                <w:sz w:val="20"/>
                <w:szCs w:val="20"/>
              </w:rPr>
            </w:pPr>
          </w:p>
        </w:tc>
        <w:tc>
          <w:tcPr>
            <w:tcW w:w="269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8599209" w14:textId="3075E0F4" w:rsidR="00EE6311" w:rsidRPr="00D87461" w:rsidRDefault="00EE6311" w:rsidP="00DA34CD">
            <w:pPr>
              <w:rPr>
                <w:sz w:val="20"/>
                <w:szCs w:val="20"/>
              </w:rPr>
            </w:pPr>
          </w:p>
        </w:tc>
        <w:tc>
          <w:tcPr>
            <w:tcW w:w="170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F441519" w14:textId="22F1C742" w:rsidR="00EE6311" w:rsidRPr="00D87461" w:rsidRDefault="00EE6311" w:rsidP="00DA34CD">
            <w:pPr>
              <w:rPr>
                <w:sz w:val="20"/>
                <w:szCs w:val="20"/>
              </w:rPr>
            </w:pPr>
          </w:p>
        </w:tc>
        <w:tc>
          <w:tcPr>
            <w:tcW w:w="326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1EA31E8" w14:textId="77777777" w:rsidR="00EE6311" w:rsidRPr="00D87461" w:rsidRDefault="00EE6311" w:rsidP="00DA34CD">
            <w:pPr>
              <w:rPr>
                <w:sz w:val="20"/>
                <w:szCs w:val="20"/>
              </w:rPr>
            </w:pPr>
          </w:p>
        </w:tc>
        <w:tc>
          <w:tcPr>
            <w:tcW w:w="284" w:type="dxa"/>
            <w:tcBorders>
              <w:top w:val="double" w:sz="4" w:space="0" w:color="FFFFFF" w:themeColor="background1"/>
              <w:left w:val="double" w:sz="4" w:space="0" w:color="A6A6A6" w:themeColor="background1" w:themeShade="A6"/>
              <w:bottom w:val="double" w:sz="4" w:space="0" w:color="FFFFFF" w:themeColor="background1"/>
              <w:right w:val="nil"/>
            </w:tcBorders>
          </w:tcPr>
          <w:p w14:paraId="00895240" w14:textId="77777777" w:rsidR="00EE6311" w:rsidRPr="00D87461" w:rsidRDefault="00EE6311" w:rsidP="00DA34CD">
            <w:pPr>
              <w:rPr>
                <w:sz w:val="20"/>
                <w:szCs w:val="20"/>
              </w:rPr>
            </w:pPr>
          </w:p>
        </w:tc>
        <w:tc>
          <w:tcPr>
            <w:tcW w:w="2694" w:type="dxa"/>
            <w:tcBorders>
              <w:top w:val="double" w:sz="4" w:space="0" w:color="BFBFBF" w:themeColor="background1" w:themeShade="BF"/>
              <w:left w:val="nil"/>
              <w:bottom w:val="nil"/>
              <w:right w:val="nil"/>
            </w:tcBorders>
            <w:shd w:val="clear" w:color="auto" w:fill="auto"/>
          </w:tcPr>
          <w:p w14:paraId="2F2500DF" w14:textId="1AE8D50C" w:rsidR="00EE6311" w:rsidRPr="00D87461" w:rsidRDefault="00EE6311" w:rsidP="00DA34CD">
            <w:pPr>
              <w:rPr>
                <w:sz w:val="20"/>
                <w:szCs w:val="20"/>
              </w:rPr>
            </w:pPr>
          </w:p>
        </w:tc>
        <w:tc>
          <w:tcPr>
            <w:tcW w:w="1843" w:type="dxa"/>
            <w:tcBorders>
              <w:top w:val="double" w:sz="4" w:space="0" w:color="BFBFBF" w:themeColor="background1" w:themeShade="BF"/>
              <w:left w:val="nil"/>
              <w:bottom w:val="nil"/>
              <w:right w:val="nil"/>
            </w:tcBorders>
            <w:shd w:val="clear" w:color="auto" w:fill="auto"/>
          </w:tcPr>
          <w:p w14:paraId="399F3784" w14:textId="5032F14E" w:rsidR="00EE6311" w:rsidRPr="00D87461" w:rsidRDefault="00EE6311" w:rsidP="00DA34CD">
            <w:pPr>
              <w:jc w:val="center"/>
              <w:rPr>
                <w:sz w:val="20"/>
                <w:szCs w:val="20"/>
              </w:rPr>
            </w:pPr>
          </w:p>
        </w:tc>
      </w:tr>
      <w:tr w:rsidR="00EB1E8C" w:rsidRPr="00D87461" w14:paraId="547D7692" w14:textId="77777777" w:rsidTr="00567126">
        <w:tc>
          <w:tcPr>
            <w:tcW w:w="319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04930825" w14:textId="029E0806" w:rsidR="00EB1E8C" w:rsidRDefault="00EB1E8C" w:rsidP="00C23977">
            <w:pPr>
              <w:rPr>
                <w:b/>
                <w:sz w:val="20"/>
                <w:szCs w:val="20"/>
              </w:rPr>
            </w:pPr>
          </w:p>
        </w:tc>
        <w:tc>
          <w:tcPr>
            <w:tcW w:w="269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7AC243A" w14:textId="350B03D0" w:rsidR="00EB1E8C" w:rsidRDefault="00EB1E8C" w:rsidP="00C23977">
            <w:pPr>
              <w:rPr>
                <w:sz w:val="20"/>
                <w:szCs w:val="20"/>
              </w:rPr>
            </w:pPr>
          </w:p>
        </w:tc>
        <w:tc>
          <w:tcPr>
            <w:tcW w:w="170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1F672B1" w14:textId="059EB825" w:rsidR="00EB1E8C" w:rsidRDefault="00EB1E8C" w:rsidP="00C23977">
            <w:pPr>
              <w:rPr>
                <w:bCs/>
                <w:sz w:val="20"/>
                <w:szCs w:val="20"/>
              </w:rPr>
            </w:pPr>
          </w:p>
        </w:tc>
        <w:tc>
          <w:tcPr>
            <w:tcW w:w="326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69AD2A5" w14:textId="77777777" w:rsidR="00EB1E8C" w:rsidRPr="00D87461" w:rsidRDefault="00EB1E8C" w:rsidP="00C23977">
            <w:pPr>
              <w:rPr>
                <w:sz w:val="20"/>
                <w:szCs w:val="20"/>
              </w:rPr>
            </w:pPr>
          </w:p>
        </w:tc>
        <w:tc>
          <w:tcPr>
            <w:tcW w:w="284" w:type="dxa"/>
            <w:tcBorders>
              <w:top w:val="double" w:sz="4" w:space="0" w:color="FFFFFF" w:themeColor="background1"/>
              <w:left w:val="double" w:sz="4" w:space="0" w:color="A6A6A6" w:themeColor="background1" w:themeShade="A6"/>
              <w:bottom w:val="double" w:sz="4" w:space="0" w:color="FFFFFF" w:themeColor="background1"/>
              <w:right w:val="nil"/>
            </w:tcBorders>
          </w:tcPr>
          <w:p w14:paraId="1C8FDA1D" w14:textId="77777777" w:rsidR="00EB1E8C" w:rsidRPr="00D87461" w:rsidRDefault="00EB1E8C" w:rsidP="00C23977">
            <w:pPr>
              <w:rPr>
                <w:sz w:val="20"/>
                <w:szCs w:val="20"/>
              </w:rPr>
            </w:pPr>
          </w:p>
        </w:tc>
        <w:tc>
          <w:tcPr>
            <w:tcW w:w="2694" w:type="dxa"/>
            <w:tcBorders>
              <w:top w:val="nil"/>
              <w:left w:val="nil"/>
              <w:bottom w:val="nil"/>
              <w:right w:val="nil"/>
            </w:tcBorders>
          </w:tcPr>
          <w:p w14:paraId="55AF39AA" w14:textId="77777777" w:rsidR="00EB1E8C" w:rsidRPr="00D87461" w:rsidRDefault="00EB1E8C" w:rsidP="00C23977">
            <w:pPr>
              <w:rPr>
                <w:sz w:val="20"/>
                <w:szCs w:val="20"/>
              </w:rPr>
            </w:pPr>
          </w:p>
        </w:tc>
        <w:tc>
          <w:tcPr>
            <w:tcW w:w="1843" w:type="dxa"/>
            <w:tcBorders>
              <w:top w:val="nil"/>
              <w:left w:val="nil"/>
              <w:bottom w:val="nil"/>
              <w:right w:val="nil"/>
            </w:tcBorders>
          </w:tcPr>
          <w:p w14:paraId="3E441243" w14:textId="77777777" w:rsidR="00EB1E8C" w:rsidRPr="00D87461" w:rsidRDefault="00EB1E8C" w:rsidP="00C23977">
            <w:pPr>
              <w:rPr>
                <w:sz w:val="20"/>
                <w:szCs w:val="20"/>
              </w:rPr>
            </w:pPr>
          </w:p>
        </w:tc>
      </w:tr>
      <w:tr w:rsidR="005A1F2A" w:rsidRPr="00D87461" w14:paraId="3A8B575B" w14:textId="77777777" w:rsidTr="00567126">
        <w:tc>
          <w:tcPr>
            <w:tcW w:w="319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7C71307E" w14:textId="25442174" w:rsidR="005A1F2A" w:rsidRDefault="005A1F2A" w:rsidP="00C23977">
            <w:pPr>
              <w:rPr>
                <w:b/>
                <w:sz w:val="20"/>
                <w:szCs w:val="20"/>
              </w:rPr>
            </w:pPr>
          </w:p>
        </w:tc>
        <w:tc>
          <w:tcPr>
            <w:tcW w:w="269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D5E5101" w14:textId="27F9627D" w:rsidR="005A1F2A" w:rsidRDefault="005A1F2A" w:rsidP="00C23977">
            <w:pPr>
              <w:rPr>
                <w:sz w:val="20"/>
                <w:szCs w:val="20"/>
              </w:rPr>
            </w:pPr>
          </w:p>
        </w:tc>
        <w:tc>
          <w:tcPr>
            <w:tcW w:w="170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6565753" w14:textId="03A69045" w:rsidR="005A1F2A" w:rsidRDefault="005A1F2A" w:rsidP="00C23977">
            <w:pPr>
              <w:rPr>
                <w:bCs/>
                <w:sz w:val="20"/>
                <w:szCs w:val="20"/>
              </w:rPr>
            </w:pPr>
          </w:p>
        </w:tc>
        <w:tc>
          <w:tcPr>
            <w:tcW w:w="326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960DB53" w14:textId="77777777" w:rsidR="005A1F2A" w:rsidRPr="00D87461" w:rsidRDefault="005A1F2A" w:rsidP="00C23977">
            <w:pPr>
              <w:rPr>
                <w:sz w:val="20"/>
                <w:szCs w:val="20"/>
              </w:rPr>
            </w:pPr>
          </w:p>
        </w:tc>
        <w:tc>
          <w:tcPr>
            <w:tcW w:w="284" w:type="dxa"/>
            <w:tcBorders>
              <w:top w:val="double" w:sz="4" w:space="0" w:color="FFFFFF" w:themeColor="background1"/>
              <w:left w:val="double" w:sz="4" w:space="0" w:color="A6A6A6" w:themeColor="background1" w:themeShade="A6"/>
              <w:bottom w:val="double" w:sz="4" w:space="0" w:color="FFFFFF" w:themeColor="background1"/>
              <w:right w:val="nil"/>
            </w:tcBorders>
          </w:tcPr>
          <w:p w14:paraId="13CAE6A2" w14:textId="77777777" w:rsidR="005A1F2A" w:rsidRPr="00D87461" w:rsidRDefault="005A1F2A" w:rsidP="00C23977">
            <w:pPr>
              <w:rPr>
                <w:sz w:val="20"/>
                <w:szCs w:val="20"/>
              </w:rPr>
            </w:pPr>
          </w:p>
        </w:tc>
        <w:tc>
          <w:tcPr>
            <w:tcW w:w="2694" w:type="dxa"/>
            <w:tcBorders>
              <w:top w:val="nil"/>
              <w:left w:val="nil"/>
              <w:bottom w:val="nil"/>
              <w:right w:val="nil"/>
            </w:tcBorders>
          </w:tcPr>
          <w:p w14:paraId="69FE827B" w14:textId="77777777" w:rsidR="005A1F2A" w:rsidRPr="00D87461" w:rsidRDefault="005A1F2A" w:rsidP="00C23977">
            <w:pPr>
              <w:rPr>
                <w:sz w:val="20"/>
                <w:szCs w:val="20"/>
              </w:rPr>
            </w:pPr>
          </w:p>
        </w:tc>
        <w:tc>
          <w:tcPr>
            <w:tcW w:w="1843" w:type="dxa"/>
            <w:tcBorders>
              <w:top w:val="nil"/>
              <w:left w:val="nil"/>
              <w:bottom w:val="nil"/>
              <w:right w:val="nil"/>
            </w:tcBorders>
          </w:tcPr>
          <w:p w14:paraId="63E09A46" w14:textId="77777777" w:rsidR="005A1F2A" w:rsidRPr="00D87461" w:rsidRDefault="005A1F2A" w:rsidP="00C23977">
            <w:pPr>
              <w:rPr>
                <w:sz w:val="20"/>
                <w:szCs w:val="20"/>
              </w:rPr>
            </w:pPr>
          </w:p>
        </w:tc>
      </w:tr>
      <w:tr w:rsidR="00C23977" w:rsidRPr="00D87461" w14:paraId="4BFA40FF" w14:textId="77777777" w:rsidTr="00567126">
        <w:tc>
          <w:tcPr>
            <w:tcW w:w="319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1F20299D" w14:textId="25B1C5B7" w:rsidR="00C23977" w:rsidRPr="00D87461" w:rsidRDefault="00C23977" w:rsidP="00C23977">
            <w:pPr>
              <w:rPr>
                <w:b/>
                <w:sz w:val="20"/>
                <w:szCs w:val="20"/>
              </w:rPr>
            </w:pPr>
          </w:p>
        </w:tc>
        <w:tc>
          <w:tcPr>
            <w:tcW w:w="269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FE92E0C" w14:textId="1F9B58FE" w:rsidR="00C23977" w:rsidRPr="00D87461" w:rsidRDefault="00C23977" w:rsidP="00C23977">
            <w:pPr>
              <w:rPr>
                <w:sz w:val="20"/>
                <w:szCs w:val="20"/>
              </w:rPr>
            </w:pPr>
          </w:p>
        </w:tc>
        <w:tc>
          <w:tcPr>
            <w:tcW w:w="170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F985D2D" w14:textId="41C437BE" w:rsidR="00C23977" w:rsidRPr="00C23977" w:rsidRDefault="00C23977" w:rsidP="00C23977">
            <w:pPr>
              <w:rPr>
                <w:bCs/>
                <w:sz w:val="20"/>
                <w:szCs w:val="20"/>
              </w:rPr>
            </w:pPr>
          </w:p>
        </w:tc>
        <w:tc>
          <w:tcPr>
            <w:tcW w:w="326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33B4085" w14:textId="77777777" w:rsidR="00C23977" w:rsidRPr="00D87461" w:rsidRDefault="00C23977" w:rsidP="00C23977">
            <w:pPr>
              <w:rPr>
                <w:sz w:val="20"/>
                <w:szCs w:val="20"/>
              </w:rPr>
            </w:pPr>
          </w:p>
        </w:tc>
        <w:tc>
          <w:tcPr>
            <w:tcW w:w="284" w:type="dxa"/>
            <w:tcBorders>
              <w:top w:val="double" w:sz="4" w:space="0" w:color="FFFFFF" w:themeColor="background1"/>
              <w:left w:val="double" w:sz="4" w:space="0" w:color="A6A6A6" w:themeColor="background1" w:themeShade="A6"/>
              <w:bottom w:val="double" w:sz="4" w:space="0" w:color="FFFFFF" w:themeColor="background1"/>
              <w:right w:val="nil"/>
            </w:tcBorders>
          </w:tcPr>
          <w:p w14:paraId="0326F880" w14:textId="77777777" w:rsidR="00C23977" w:rsidRPr="00D87461" w:rsidRDefault="00C23977" w:rsidP="00C23977">
            <w:pPr>
              <w:rPr>
                <w:sz w:val="20"/>
                <w:szCs w:val="20"/>
              </w:rPr>
            </w:pPr>
          </w:p>
        </w:tc>
        <w:tc>
          <w:tcPr>
            <w:tcW w:w="2694" w:type="dxa"/>
            <w:tcBorders>
              <w:top w:val="nil"/>
              <w:left w:val="nil"/>
              <w:bottom w:val="nil"/>
              <w:right w:val="nil"/>
            </w:tcBorders>
          </w:tcPr>
          <w:p w14:paraId="0917F33C" w14:textId="77777777" w:rsidR="00C23977" w:rsidRPr="00D87461" w:rsidRDefault="00C23977" w:rsidP="00C23977">
            <w:pPr>
              <w:rPr>
                <w:sz w:val="20"/>
                <w:szCs w:val="20"/>
              </w:rPr>
            </w:pPr>
          </w:p>
        </w:tc>
        <w:tc>
          <w:tcPr>
            <w:tcW w:w="1843" w:type="dxa"/>
            <w:tcBorders>
              <w:top w:val="nil"/>
              <w:left w:val="nil"/>
              <w:bottom w:val="nil"/>
              <w:right w:val="nil"/>
            </w:tcBorders>
          </w:tcPr>
          <w:p w14:paraId="76DB0921" w14:textId="77777777" w:rsidR="00C23977" w:rsidRPr="00D87461" w:rsidRDefault="00C23977" w:rsidP="00C23977">
            <w:pPr>
              <w:rPr>
                <w:sz w:val="20"/>
                <w:szCs w:val="20"/>
              </w:rPr>
            </w:pPr>
          </w:p>
        </w:tc>
      </w:tr>
      <w:tr w:rsidR="00C23977" w:rsidRPr="00D87461" w14:paraId="7BA7EBEA" w14:textId="77777777" w:rsidTr="003C1D7A">
        <w:trPr>
          <w:trHeight w:val="127"/>
        </w:trPr>
        <w:tc>
          <w:tcPr>
            <w:tcW w:w="319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F2F2F2" w:themeFill="background1" w:themeFillShade="F2"/>
          </w:tcPr>
          <w:p w14:paraId="27D3700A" w14:textId="63399151" w:rsidR="00C23977" w:rsidRDefault="00C23977" w:rsidP="00C23977">
            <w:pPr>
              <w:rPr>
                <w:b/>
                <w:sz w:val="20"/>
                <w:szCs w:val="20"/>
              </w:rPr>
            </w:pPr>
          </w:p>
        </w:tc>
        <w:tc>
          <w:tcPr>
            <w:tcW w:w="269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57DEA13" w14:textId="44D2BA15" w:rsidR="00C23977" w:rsidRDefault="00C23977" w:rsidP="00C23977">
            <w:pPr>
              <w:tabs>
                <w:tab w:val="center" w:pos="1239"/>
              </w:tabs>
              <w:rPr>
                <w:sz w:val="20"/>
                <w:szCs w:val="20"/>
              </w:rPr>
            </w:pPr>
          </w:p>
        </w:tc>
        <w:tc>
          <w:tcPr>
            <w:tcW w:w="170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A89CED0" w14:textId="2FFAD539" w:rsidR="00C23977" w:rsidRPr="00D87461" w:rsidRDefault="00C23977" w:rsidP="00C23977">
            <w:pPr>
              <w:rPr>
                <w:sz w:val="20"/>
                <w:szCs w:val="20"/>
              </w:rPr>
            </w:pPr>
          </w:p>
        </w:tc>
        <w:tc>
          <w:tcPr>
            <w:tcW w:w="326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3D001C5" w14:textId="77777777" w:rsidR="00C23977" w:rsidRPr="00D87461" w:rsidRDefault="00C23977" w:rsidP="00C23977">
            <w:pPr>
              <w:rPr>
                <w:sz w:val="20"/>
                <w:szCs w:val="20"/>
              </w:rPr>
            </w:pPr>
          </w:p>
        </w:tc>
        <w:tc>
          <w:tcPr>
            <w:tcW w:w="284" w:type="dxa"/>
            <w:tcBorders>
              <w:top w:val="double" w:sz="4" w:space="0" w:color="FFFFFF" w:themeColor="background1"/>
              <w:left w:val="double" w:sz="4" w:space="0" w:color="A6A6A6" w:themeColor="background1" w:themeShade="A6"/>
              <w:bottom w:val="double" w:sz="4" w:space="0" w:color="FFFFFF" w:themeColor="background1"/>
              <w:right w:val="nil"/>
            </w:tcBorders>
          </w:tcPr>
          <w:p w14:paraId="2DE08DF4" w14:textId="77777777" w:rsidR="00C23977" w:rsidRPr="00D87461" w:rsidRDefault="00C23977" w:rsidP="00C23977">
            <w:pPr>
              <w:rPr>
                <w:sz w:val="20"/>
                <w:szCs w:val="20"/>
              </w:rPr>
            </w:pPr>
          </w:p>
        </w:tc>
        <w:tc>
          <w:tcPr>
            <w:tcW w:w="2694" w:type="dxa"/>
            <w:tcBorders>
              <w:top w:val="nil"/>
              <w:left w:val="nil"/>
              <w:bottom w:val="nil"/>
              <w:right w:val="nil"/>
            </w:tcBorders>
          </w:tcPr>
          <w:p w14:paraId="1AB283A3" w14:textId="77777777" w:rsidR="00C23977" w:rsidRPr="00D87461" w:rsidRDefault="00C23977" w:rsidP="00C23977">
            <w:pPr>
              <w:rPr>
                <w:sz w:val="20"/>
                <w:szCs w:val="20"/>
              </w:rPr>
            </w:pPr>
          </w:p>
        </w:tc>
        <w:tc>
          <w:tcPr>
            <w:tcW w:w="1843" w:type="dxa"/>
            <w:tcBorders>
              <w:top w:val="nil"/>
              <w:left w:val="nil"/>
              <w:bottom w:val="nil"/>
              <w:right w:val="nil"/>
            </w:tcBorders>
          </w:tcPr>
          <w:p w14:paraId="4D70CE52" w14:textId="77777777" w:rsidR="00C23977" w:rsidRPr="00D87461" w:rsidRDefault="00C23977" w:rsidP="00C23977">
            <w:pPr>
              <w:rPr>
                <w:sz w:val="20"/>
                <w:szCs w:val="20"/>
              </w:rPr>
            </w:pPr>
          </w:p>
        </w:tc>
      </w:tr>
    </w:tbl>
    <w:p w14:paraId="5A9C57AB" w14:textId="77777777" w:rsidR="00D87461" w:rsidRPr="00C75975" w:rsidRDefault="00D87461" w:rsidP="00DA34CD">
      <w:pPr>
        <w:tabs>
          <w:tab w:val="left" w:pos="2755"/>
        </w:tabs>
        <w:spacing w:line="240" w:lineRule="auto"/>
      </w:pPr>
    </w:p>
    <w:sectPr w:rsidR="00D87461" w:rsidRPr="00C75975" w:rsidSect="00EE1077">
      <w:headerReference w:type="default" r:id="rId8"/>
      <w:footerReference w:type="default" r:id="rId9"/>
      <w:pgSz w:w="16839" w:h="11907" w:orient="landscape" w:code="9"/>
      <w:pgMar w:top="720" w:right="449" w:bottom="720" w:left="720" w:header="41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86AE" w14:textId="77777777" w:rsidR="00C27460" w:rsidRDefault="00C27460" w:rsidP="00BF109D">
      <w:pPr>
        <w:spacing w:after="0" w:line="240" w:lineRule="auto"/>
      </w:pPr>
      <w:r>
        <w:separator/>
      </w:r>
    </w:p>
  </w:endnote>
  <w:endnote w:type="continuationSeparator" w:id="0">
    <w:p w14:paraId="72CFE7D3" w14:textId="77777777" w:rsidR="00C27460" w:rsidRDefault="00C27460" w:rsidP="00BF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BB03" w14:textId="5E377934" w:rsidR="00AC2158" w:rsidRPr="003E283F" w:rsidRDefault="00AC2158">
    <w:pPr>
      <w:pStyle w:val="Footer"/>
      <w:rPr>
        <w:i/>
        <w:sz w:val="16"/>
      </w:rPr>
    </w:pPr>
    <w:r>
      <w:rPr>
        <w:i/>
        <w:sz w:val="16"/>
      </w:rPr>
      <w:t>Fu</w:t>
    </w:r>
    <w:r w:rsidRPr="003E283F">
      <w:rPr>
        <w:i/>
        <w:sz w:val="16"/>
      </w:rPr>
      <w:t>rther detail and supporting documentation available from the Governan</w:t>
    </w:r>
    <w:r>
      <w:rPr>
        <w:i/>
        <w:sz w:val="16"/>
      </w:rPr>
      <w:t>ce &amp; Regulation Team on request</w:t>
    </w:r>
    <w:r w:rsidRPr="003E283F">
      <w:rPr>
        <w:i/>
        <w:sz w:val="16"/>
      </w:rPr>
      <w:tab/>
    </w:r>
    <w:r w:rsidRPr="003E283F">
      <w:rPr>
        <w:sz w:val="16"/>
      </w:rPr>
      <w:tab/>
    </w:r>
    <w:r w:rsidRPr="003E283F">
      <w:rPr>
        <w:sz w:val="16"/>
      </w:rPr>
      <w:tab/>
    </w:r>
    <w:r w:rsidRPr="003E283F">
      <w:rPr>
        <w:sz w:val="16"/>
      </w:rPr>
      <w:tab/>
    </w:r>
    <w:r w:rsidRPr="003E283F">
      <w:rPr>
        <w:sz w:val="16"/>
      </w:rPr>
      <w:tab/>
    </w:r>
    <w:r w:rsidRPr="003E283F">
      <w:rPr>
        <w:sz w:val="16"/>
      </w:rPr>
      <w:tab/>
    </w:r>
    <w:r w:rsidRPr="003E283F">
      <w:rPr>
        <w:sz w:val="16"/>
      </w:rPr>
      <w:tab/>
    </w:r>
    <w:r w:rsidRPr="003E283F">
      <w:rPr>
        <w:sz w:val="16"/>
      </w:rPr>
      <w:tab/>
      <w:t xml:space="preserve">Page </w:t>
    </w:r>
    <w:r w:rsidRPr="003E283F">
      <w:rPr>
        <w:sz w:val="16"/>
      </w:rPr>
      <w:fldChar w:fldCharType="begin"/>
    </w:r>
    <w:r w:rsidRPr="003E283F">
      <w:rPr>
        <w:sz w:val="16"/>
      </w:rPr>
      <w:instrText xml:space="preserve"> PAGE   \* MERGEFORMAT </w:instrText>
    </w:r>
    <w:r w:rsidRPr="003E283F">
      <w:rPr>
        <w:sz w:val="16"/>
      </w:rPr>
      <w:fldChar w:fldCharType="separate"/>
    </w:r>
    <w:r>
      <w:rPr>
        <w:noProof/>
        <w:sz w:val="16"/>
      </w:rPr>
      <w:t>16</w:t>
    </w:r>
    <w:r w:rsidRPr="003E283F">
      <w:rPr>
        <w:sz w:val="16"/>
      </w:rPr>
      <w:fldChar w:fldCharType="end"/>
    </w:r>
    <w:r w:rsidRPr="003E283F">
      <w:rPr>
        <w:sz w:val="16"/>
      </w:rPr>
      <w:t xml:space="preserve"> of </w:t>
    </w:r>
    <w:r w:rsidRPr="003E283F">
      <w:rPr>
        <w:sz w:val="16"/>
      </w:rPr>
      <w:fldChar w:fldCharType="begin"/>
    </w:r>
    <w:r w:rsidRPr="003E283F">
      <w:rPr>
        <w:sz w:val="16"/>
      </w:rPr>
      <w:instrText xml:space="preserve"> NUMPAGES   \* MERGEFORMAT </w:instrText>
    </w:r>
    <w:r w:rsidRPr="003E283F">
      <w:rPr>
        <w:sz w:val="16"/>
      </w:rPr>
      <w:fldChar w:fldCharType="separate"/>
    </w:r>
    <w:r>
      <w:rPr>
        <w:noProof/>
        <w:sz w:val="16"/>
      </w:rPr>
      <w:t>16</w:t>
    </w:r>
    <w:r w:rsidRPr="003E283F">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CED3" w14:textId="77777777" w:rsidR="00C27460" w:rsidRDefault="00C27460" w:rsidP="00BF109D">
      <w:pPr>
        <w:spacing w:after="0" w:line="240" w:lineRule="auto"/>
      </w:pPr>
      <w:r>
        <w:separator/>
      </w:r>
    </w:p>
  </w:footnote>
  <w:footnote w:type="continuationSeparator" w:id="0">
    <w:p w14:paraId="405251FB" w14:textId="77777777" w:rsidR="00C27460" w:rsidRDefault="00C27460" w:rsidP="00BF1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F2CE" w14:textId="63D84C42" w:rsidR="00AC2158" w:rsidRPr="005D698E" w:rsidRDefault="00AC2158" w:rsidP="00FB3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right" w:pos="15669"/>
      </w:tabs>
      <w:spacing w:line="240" w:lineRule="auto"/>
      <w:rPr>
        <w:rFonts w:ascii="Verdana" w:hAnsi="Verdana"/>
        <w:b/>
        <w:color w:val="808080" w:themeColor="background1" w:themeShade="80"/>
        <w:sz w:val="24"/>
      </w:rPr>
    </w:pPr>
    <w:r w:rsidRPr="00EE6311">
      <w:rPr>
        <w:rFonts w:ascii="Verdana" w:hAnsi="Verdana"/>
        <w:b/>
        <w:color w:val="808080" w:themeColor="background1" w:themeShade="80"/>
        <w:sz w:val="24"/>
      </w:rPr>
      <w:t xml:space="preserve">RSH National standards compliance summary – Value for Money Standard </w:t>
    </w:r>
    <w:r w:rsidRPr="00EE6311">
      <w:rPr>
        <w:rFonts w:ascii="Verdana" w:hAnsi="Verdana"/>
        <w:b/>
        <w:color w:val="808080" w:themeColor="background1" w:themeShade="80"/>
        <w:sz w:val="20"/>
      </w:rPr>
      <w:tab/>
    </w:r>
    <w:r w:rsidRPr="00EE6311">
      <w:rPr>
        <w:rFonts w:ascii="Verdana" w:hAnsi="Verdana"/>
        <w:b/>
        <w:color w:val="808080" w:themeColor="background1" w:themeShade="80"/>
        <w:sz w:val="20"/>
      </w:rPr>
      <w:tab/>
    </w:r>
    <w:r w:rsidRPr="00EE6311">
      <w:rPr>
        <w:rFonts w:ascii="Verdana" w:hAnsi="Verdana"/>
        <w:b/>
        <w:color w:val="808080" w:themeColor="background1" w:themeShade="80"/>
        <w:sz w:val="20"/>
      </w:rPr>
      <w:tab/>
    </w:r>
    <w:r w:rsidR="005D698E">
      <w:rPr>
        <w:rFonts w:ascii="Verdana" w:hAnsi="Verdana"/>
        <w:b/>
        <w:color w:val="808080" w:themeColor="background1" w:themeShade="80"/>
        <w:sz w:val="20"/>
      </w:rPr>
      <w:t xml:space="preserve">             </w:t>
    </w:r>
    <w:r w:rsidR="005D698E" w:rsidRPr="005D698E">
      <w:rPr>
        <w:rFonts w:ascii="Verdana" w:hAnsi="Verdana"/>
        <w:b/>
        <w:color w:val="808080" w:themeColor="background1" w:themeShade="80"/>
        <w:sz w:val="24"/>
      </w:rPr>
      <w:t xml:space="preserve">Quarter </w:t>
    </w:r>
    <w:r w:rsidR="00CE4341">
      <w:rPr>
        <w:rFonts w:ascii="Verdana" w:hAnsi="Verdana"/>
        <w:b/>
        <w:color w:val="808080" w:themeColor="background1" w:themeShade="80"/>
        <w:sz w:val="24"/>
      </w:rPr>
      <w:t>4</w:t>
    </w:r>
    <w:r w:rsidR="005D698E" w:rsidRPr="005D698E">
      <w:rPr>
        <w:rFonts w:ascii="Verdana" w:hAnsi="Verdana"/>
        <w:b/>
        <w:color w:val="808080" w:themeColor="background1" w:themeShade="80"/>
        <w:sz w:val="24"/>
      </w:rPr>
      <w:t xml:space="preserve"> 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94F"/>
    <w:multiLevelType w:val="hybridMultilevel"/>
    <w:tmpl w:val="E0D83CF8"/>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 w15:restartNumberingAfterBreak="0">
    <w:nsid w:val="0DB579F7"/>
    <w:multiLevelType w:val="hybridMultilevel"/>
    <w:tmpl w:val="9A10C8CA"/>
    <w:lvl w:ilvl="0" w:tplc="08090011">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B1306"/>
    <w:multiLevelType w:val="hybridMultilevel"/>
    <w:tmpl w:val="6004F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F6E4B"/>
    <w:multiLevelType w:val="hybridMultilevel"/>
    <w:tmpl w:val="F0327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20519"/>
    <w:multiLevelType w:val="hybridMultilevel"/>
    <w:tmpl w:val="5F0CEE48"/>
    <w:lvl w:ilvl="0" w:tplc="08090001">
      <w:start w:val="1"/>
      <w:numFmt w:val="bullet"/>
      <w:lvlText w:val=""/>
      <w:lvlJc w:val="left"/>
      <w:pPr>
        <w:ind w:left="360" w:hanging="360"/>
      </w:pPr>
      <w:rPr>
        <w:rFonts w:ascii="Symbol" w:hAnsi="Symbol" w:hint="default"/>
        <w:color w:val="auto"/>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DE0209"/>
    <w:multiLevelType w:val="hybridMultilevel"/>
    <w:tmpl w:val="FD065336"/>
    <w:lvl w:ilvl="0" w:tplc="B0A4F3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19104D"/>
    <w:multiLevelType w:val="hybridMultilevel"/>
    <w:tmpl w:val="30266C0A"/>
    <w:lvl w:ilvl="0" w:tplc="B0A4F3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A4EB1"/>
    <w:multiLevelType w:val="hybridMultilevel"/>
    <w:tmpl w:val="7E3AF276"/>
    <w:lvl w:ilvl="0" w:tplc="5B462A6A">
      <w:start w:val="1"/>
      <w:numFmt w:val="bullet"/>
      <w:lvlText w:val=""/>
      <w:lvlJc w:val="left"/>
      <w:pPr>
        <w:ind w:left="36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76481"/>
    <w:multiLevelType w:val="hybridMultilevel"/>
    <w:tmpl w:val="E340CD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B53342"/>
    <w:multiLevelType w:val="hybridMultilevel"/>
    <w:tmpl w:val="31981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EA16DE"/>
    <w:multiLevelType w:val="hybridMultilevel"/>
    <w:tmpl w:val="89F2A8D4"/>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1" w15:restartNumberingAfterBreak="0">
    <w:nsid w:val="2C002CD6"/>
    <w:multiLevelType w:val="hybridMultilevel"/>
    <w:tmpl w:val="20162ED8"/>
    <w:lvl w:ilvl="0" w:tplc="B0A4F3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F6BC4"/>
    <w:multiLevelType w:val="hybridMultilevel"/>
    <w:tmpl w:val="FE34B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B4039"/>
    <w:multiLevelType w:val="hybridMultilevel"/>
    <w:tmpl w:val="02EE9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5C5B37"/>
    <w:multiLevelType w:val="hybridMultilevel"/>
    <w:tmpl w:val="3BEC3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08559F"/>
    <w:multiLevelType w:val="hybridMultilevel"/>
    <w:tmpl w:val="C3A4F928"/>
    <w:lvl w:ilvl="0" w:tplc="7688A0BC">
      <w:start w:val="1"/>
      <w:numFmt w:val="bullet"/>
      <w:pStyle w:val="Bullets"/>
      <w:lvlText w:val=""/>
      <w:lvlJc w:val="left"/>
      <w:pPr>
        <w:tabs>
          <w:tab w:val="num" w:pos="539"/>
        </w:tabs>
        <w:ind w:left="539" w:hanging="539"/>
      </w:pPr>
      <w:rPr>
        <w:rFonts w:ascii="Symbol" w:hAnsi="Symbol" w:hint="default"/>
        <w:color w:val="auto"/>
        <w:sz w:val="16"/>
        <w:szCs w:val="16"/>
      </w:rPr>
    </w:lvl>
    <w:lvl w:ilvl="1" w:tplc="BE065E82">
      <w:start w:val="1"/>
      <w:numFmt w:val="bullet"/>
      <w:pStyle w:val="SubBullets"/>
      <w:lvlText w:val="­"/>
      <w:lvlJc w:val="left"/>
      <w:pPr>
        <w:tabs>
          <w:tab w:val="num" w:pos="1259"/>
        </w:tabs>
        <w:ind w:left="1259" w:hanging="360"/>
      </w:pPr>
      <w:rPr>
        <w:rFonts w:ascii="Courier New" w:hAnsi="Courier New" w:hint="default"/>
      </w:rPr>
    </w:lvl>
    <w:lvl w:ilvl="2" w:tplc="04090005" w:tentative="1">
      <w:start w:val="1"/>
      <w:numFmt w:val="bullet"/>
      <w:lvlText w:val=""/>
      <w:lvlJc w:val="left"/>
      <w:pPr>
        <w:tabs>
          <w:tab w:val="num" w:pos="1979"/>
        </w:tabs>
        <w:ind w:left="1979" w:hanging="360"/>
      </w:pPr>
      <w:rPr>
        <w:rFonts w:ascii="Wingdings" w:hAnsi="Wingdings" w:hint="default"/>
      </w:rPr>
    </w:lvl>
    <w:lvl w:ilvl="3" w:tplc="04090001" w:tentative="1">
      <w:start w:val="1"/>
      <w:numFmt w:val="bullet"/>
      <w:lvlText w:val=""/>
      <w:lvlJc w:val="left"/>
      <w:pPr>
        <w:tabs>
          <w:tab w:val="num" w:pos="2699"/>
        </w:tabs>
        <w:ind w:left="2699" w:hanging="360"/>
      </w:pPr>
      <w:rPr>
        <w:rFonts w:ascii="Symbol" w:hAnsi="Symbol" w:hint="default"/>
      </w:rPr>
    </w:lvl>
    <w:lvl w:ilvl="4" w:tplc="04090003" w:tentative="1">
      <w:start w:val="1"/>
      <w:numFmt w:val="bullet"/>
      <w:lvlText w:val="o"/>
      <w:lvlJc w:val="left"/>
      <w:pPr>
        <w:tabs>
          <w:tab w:val="num" w:pos="3419"/>
        </w:tabs>
        <w:ind w:left="3419" w:hanging="360"/>
      </w:pPr>
      <w:rPr>
        <w:rFonts w:ascii="Courier New" w:hAnsi="Courier New" w:cs="Courier New" w:hint="default"/>
      </w:rPr>
    </w:lvl>
    <w:lvl w:ilvl="5" w:tplc="04090005" w:tentative="1">
      <w:start w:val="1"/>
      <w:numFmt w:val="bullet"/>
      <w:lvlText w:val=""/>
      <w:lvlJc w:val="left"/>
      <w:pPr>
        <w:tabs>
          <w:tab w:val="num" w:pos="4139"/>
        </w:tabs>
        <w:ind w:left="4139" w:hanging="360"/>
      </w:pPr>
      <w:rPr>
        <w:rFonts w:ascii="Wingdings" w:hAnsi="Wingdings" w:hint="default"/>
      </w:rPr>
    </w:lvl>
    <w:lvl w:ilvl="6" w:tplc="04090001" w:tentative="1">
      <w:start w:val="1"/>
      <w:numFmt w:val="bullet"/>
      <w:lvlText w:val=""/>
      <w:lvlJc w:val="left"/>
      <w:pPr>
        <w:tabs>
          <w:tab w:val="num" w:pos="4859"/>
        </w:tabs>
        <w:ind w:left="4859" w:hanging="360"/>
      </w:pPr>
      <w:rPr>
        <w:rFonts w:ascii="Symbol" w:hAnsi="Symbol" w:hint="default"/>
      </w:rPr>
    </w:lvl>
    <w:lvl w:ilvl="7" w:tplc="04090003" w:tentative="1">
      <w:start w:val="1"/>
      <w:numFmt w:val="bullet"/>
      <w:lvlText w:val="o"/>
      <w:lvlJc w:val="left"/>
      <w:pPr>
        <w:tabs>
          <w:tab w:val="num" w:pos="5579"/>
        </w:tabs>
        <w:ind w:left="5579" w:hanging="360"/>
      </w:pPr>
      <w:rPr>
        <w:rFonts w:ascii="Courier New" w:hAnsi="Courier New" w:cs="Courier New" w:hint="default"/>
      </w:rPr>
    </w:lvl>
    <w:lvl w:ilvl="8" w:tplc="04090005" w:tentative="1">
      <w:start w:val="1"/>
      <w:numFmt w:val="bullet"/>
      <w:lvlText w:val=""/>
      <w:lvlJc w:val="left"/>
      <w:pPr>
        <w:tabs>
          <w:tab w:val="num" w:pos="6299"/>
        </w:tabs>
        <w:ind w:left="6299" w:hanging="360"/>
      </w:pPr>
      <w:rPr>
        <w:rFonts w:ascii="Wingdings" w:hAnsi="Wingdings" w:hint="default"/>
      </w:rPr>
    </w:lvl>
  </w:abstractNum>
  <w:abstractNum w:abstractNumId="16" w15:restartNumberingAfterBreak="0">
    <w:nsid w:val="3B556E64"/>
    <w:multiLevelType w:val="hybridMultilevel"/>
    <w:tmpl w:val="1FB6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052265"/>
    <w:multiLevelType w:val="hybridMultilevel"/>
    <w:tmpl w:val="46E66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67752D"/>
    <w:multiLevelType w:val="hybridMultilevel"/>
    <w:tmpl w:val="20F0194C"/>
    <w:lvl w:ilvl="0" w:tplc="08090011">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01FCF"/>
    <w:multiLevelType w:val="hybridMultilevel"/>
    <w:tmpl w:val="F40AB11C"/>
    <w:lvl w:ilvl="0" w:tplc="B0A4F3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CD5B3A"/>
    <w:multiLevelType w:val="hybridMultilevel"/>
    <w:tmpl w:val="18C4718A"/>
    <w:lvl w:ilvl="0" w:tplc="08090003">
      <w:start w:val="1"/>
      <w:numFmt w:val="bullet"/>
      <w:lvlText w:val="o"/>
      <w:lvlJc w:val="left"/>
      <w:pPr>
        <w:tabs>
          <w:tab w:val="num" w:pos="539"/>
        </w:tabs>
        <w:ind w:left="539" w:hanging="539"/>
      </w:pPr>
      <w:rPr>
        <w:rFonts w:ascii="Courier New" w:hAnsi="Courier New" w:cs="Courier New" w:hint="default"/>
        <w:color w:val="auto"/>
        <w:sz w:val="16"/>
        <w:szCs w:val="16"/>
      </w:rPr>
    </w:lvl>
    <w:lvl w:ilvl="1" w:tplc="BE065E82">
      <w:start w:val="1"/>
      <w:numFmt w:val="bullet"/>
      <w:lvlText w:val="­"/>
      <w:lvlJc w:val="left"/>
      <w:pPr>
        <w:tabs>
          <w:tab w:val="num" w:pos="1259"/>
        </w:tabs>
        <w:ind w:left="1259" w:hanging="360"/>
      </w:pPr>
      <w:rPr>
        <w:rFonts w:ascii="Courier New" w:hAnsi="Courier New" w:hint="default"/>
      </w:rPr>
    </w:lvl>
    <w:lvl w:ilvl="2" w:tplc="04090005" w:tentative="1">
      <w:start w:val="1"/>
      <w:numFmt w:val="bullet"/>
      <w:lvlText w:val=""/>
      <w:lvlJc w:val="left"/>
      <w:pPr>
        <w:tabs>
          <w:tab w:val="num" w:pos="1979"/>
        </w:tabs>
        <w:ind w:left="1979" w:hanging="360"/>
      </w:pPr>
      <w:rPr>
        <w:rFonts w:ascii="Wingdings" w:hAnsi="Wingdings" w:hint="default"/>
      </w:rPr>
    </w:lvl>
    <w:lvl w:ilvl="3" w:tplc="04090001" w:tentative="1">
      <w:start w:val="1"/>
      <w:numFmt w:val="bullet"/>
      <w:lvlText w:val=""/>
      <w:lvlJc w:val="left"/>
      <w:pPr>
        <w:tabs>
          <w:tab w:val="num" w:pos="2699"/>
        </w:tabs>
        <w:ind w:left="2699" w:hanging="360"/>
      </w:pPr>
      <w:rPr>
        <w:rFonts w:ascii="Symbol" w:hAnsi="Symbol" w:hint="default"/>
      </w:rPr>
    </w:lvl>
    <w:lvl w:ilvl="4" w:tplc="04090003" w:tentative="1">
      <w:start w:val="1"/>
      <w:numFmt w:val="bullet"/>
      <w:lvlText w:val="o"/>
      <w:lvlJc w:val="left"/>
      <w:pPr>
        <w:tabs>
          <w:tab w:val="num" w:pos="3419"/>
        </w:tabs>
        <w:ind w:left="3419" w:hanging="360"/>
      </w:pPr>
      <w:rPr>
        <w:rFonts w:ascii="Courier New" w:hAnsi="Courier New" w:cs="Courier New" w:hint="default"/>
      </w:rPr>
    </w:lvl>
    <w:lvl w:ilvl="5" w:tplc="04090005" w:tentative="1">
      <w:start w:val="1"/>
      <w:numFmt w:val="bullet"/>
      <w:lvlText w:val=""/>
      <w:lvlJc w:val="left"/>
      <w:pPr>
        <w:tabs>
          <w:tab w:val="num" w:pos="4139"/>
        </w:tabs>
        <w:ind w:left="4139" w:hanging="360"/>
      </w:pPr>
      <w:rPr>
        <w:rFonts w:ascii="Wingdings" w:hAnsi="Wingdings" w:hint="default"/>
      </w:rPr>
    </w:lvl>
    <w:lvl w:ilvl="6" w:tplc="04090001" w:tentative="1">
      <w:start w:val="1"/>
      <w:numFmt w:val="bullet"/>
      <w:lvlText w:val=""/>
      <w:lvlJc w:val="left"/>
      <w:pPr>
        <w:tabs>
          <w:tab w:val="num" w:pos="4859"/>
        </w:tabs>
        <w:ind w:left="4859" w:hanging="360"/>
      </w:pPr>
      <w:rPr>
        <w:rFonts w:ascii="Symbol" w:hAnsi="Symbol" w:hint="default"/>
      </w:rPr>
    </w:lvl>
    <w:lvl w:ilvl="7" w:tplc="04090003" w:tentative="1">
      <w:start w:val="1"/>
      <w:numFmt w:val="bullet"/>
      <w:lvlText w:val="o"/>
      <w:lvlJc w:val="left"/>
      <w:pPr>
        <w:tabs>
          <w:tab w:val="num" w:pos="5579"/>
        </w:tabs>
        <w:ind w:left="5579" w:hanging="360"/>
      </w:pPr>
      <w:rPr>
        <w:rFonts w:ascii="Courier New" w:hAnsi="Courier New" w:cs="Courier New" w:hint="default"/>
      </w:rPr>
    </w:lvl>
    <w:lvl w:ilvl="8" w:tplc="04090005" w:tentative="1">
      <w:start w:val="1"/>
      <w:numFmt w:val="bullet"/>
      <w:lvlText w:val=""/>
      <w:lvlJc w:val="left"/>
      <w:pPr>
        <w:tabs>
          <w:tab w:val="num" w:pos="6299"/>
        </w:tabs>
        <w:ind w:left="6299" w:hanging="360"/>
      </w:pPr>
      <w:rPr>
        <w:rFonts w:ascii="Wingdings" w:hAnsi="Wingdings" w:hint="default"/>
      </w:rPr>
    </w:lvl>
  </w:abstractNum>
  <w:abstractNum w:abstractNumId="21" w15:restartNumberingAfterBreak="0">
    <w:nsid w:val="489676F6"/>
    <w:multiLevelType w:val="hybridMultilevel"/>
    <w:tmpl w:val="53C07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171987"/>
    <w:multiLevelType w:val="hybridMultilevel"/>
    <w:tmpl w:val="0B864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743C33"/>
    <w:multiLevelType w:val="hybridMultilevel"/>
    <w:tmpl w:val="6234D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E91B65"/>
    <w:multiLevelType w:val="hybridMultilevel"/>
    <w:tmpl w:val="BAD637AE"/>
    <w:lvl w:ilvl="0" w:tplc="08090011">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6DF5F9E"/>
    <w:multiLevelType w:val="hybridMultilevel"/>
    <w:tmpl w:val="ED1E4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670A7A"/>
    <w:multiLevelType w:val="hybridMultilevel"/>
    <w:tmpl w:val="7B027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71361B"/>
    <w:multiLevelType w:val="hybridMultilevel"/>
    <w:tmpl w:val="237A88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F440A06"/>
    <w:multiLevelType w:val="hybridMultilevel"/>
    <w:tmpl w:val="4D5C5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712B0D"/>
    <w:multiLevelType w:val="hybridMultilevel"/>
    <w:tmpl w:val="AF782B96"/>
    <w:lvl w:ilvl="0" w:tplc="B0A4F3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6F0651"/>
    <w:multiLevelType w:val="hybridMultilevel"/>
    <w:tmpl w:val="BAF4D068"/>
    <w:lvl w:ilvl="0" w:tplc="B0A4F3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173F5"/>
    <w:multiLevelType w:val="hybridMultilevel"/>
    <w:tmpl w:val="FB3CB9F2"/>
    <w:lvl w:ilvl="0" w:tplc="B0A4F3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13CA7"/>
    <w:multiLevelType w:val="hybridMultilevel"/>
    <w:tmpl w:val="2020DB4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2591442"/>
    <w:multiLevelType w:val="hybridMultilevel"/>
    <w:tmpl w:val="D6ECD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75376D"/>
    <w:multiLevelType w:val="hybridMultilevel"/>
    <w:tmpl w:val="1C180428"/>
    <w:lvl w:ilvl="0" w:tplc="5B462A6A">
      <w:start w:val="1"/>
      <w:numFmt w:val="bullet"/>
      <w:lvlText w:val=""/>
      <w:lvlJc w:val="left"/>
      <w:pPr>
        <w:ind w:left="36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0A6D27"/>
    <w:multiLevelType w:val="hybridMultilevel"/>
    <w:tmpl w:val="FD86BAE4"/>
    <w:lvl w:ilvl="0" w:tplc="08090001">
      <w:start w:val="1"/>
      <w:numFmt w:val="bullet"/>
      <w:lvlText w:val=""/>
      <w:lvlJc w:val="left"/>
      <w:pPr>
        <w:ind w:left="360" w:hanging="360"/>
      </w:pPr>
      <w:rPr>
        <w:rFonts w:ascii="Symbol" w:hAnsi="Symbol" w:hint="default"/>
        <w:color w:val="auto"/>
        <w:sz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1E63D5"/>
    <w:multiLevelType w:val="hybridMultilevel"/>
    <w:tmpl w:val="C5FE4A8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59A5C12"/>
    <w:multiLevelType w:val="hybridMultilevel"/>
    <w:tmpl w:val="4B7E81D2"/>
    <w:lvl w:ilvl="0" w:tplc="A0B8434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2E0F9B"/>
    <w:multiLevelType w:val="hybridMultilevel"/>
    <w:tmpl w:val="D0AC0A30"/>
    <w:lvl w:ilvl="0" w:tplc="B0A4F344">
      <w:start w:val="1"/>
      <w:numFmt w:val="bullet"/>
      <w:lvlText w:val=""/>
      <w:lvlJc w:val="left"/>
      <w:pPr>
        <w:ind w:left="510" w:hanging="360"/>
      </w:pPr>
      <w:rPr>
        <w:rFonts w:ascii="Symbol" w:hAnsi="Symbol" w:hint="default"/>
        <w:color w:val="auto"/>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39" w15:restartNumberingAfterBreak="0">
    <w:nsid w:val="771238D3"/>
    <w:multiLevelType w:val="hybridMultilevel"/>
    <w:tmpl w:val="65807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AF5E55"/>
    <w:multiLevelType w:val="hybridMultilevel"/>
    <w:tmpl w:val="6AD03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DE2241"/>
    <w:multiLevelType w:val="multilevel"/>
    <w:tmpl w:val="8BDCDD90"/>
    <w:styleLink w:val="BHBullets"/>
    <w:lvl w:ilvl="0">
      <w:start w:val="1"/>
      <w:numFmt w:val="bullet"/>
      <w:pStyle w:val="ListBullet"/>
      <w:lvlText w:val=""/>
      <w:lvlJc w:val="left"/>
      <w:pPr>
        <w:ind w:left="720" w:hanging="360"/>
      </w:pPr>
      <w:rPr>
        <w:rFonts w:ascii="Symbol" w:hAnsi="Symbol" w:hint="default"/>
        <w:color w:val="1F497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DC39D9"/>
    <w:multiLevelType w:val="hybridMultilevel"/>
    <w:tmpl w:val="0838B04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E140948"/>
    <w:multiLevelType w:val="hybridMultilevel"/>
    <w:tmpl w:val="80EA021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E740EC9"/>
    <w:multiLevelType w:val="hybridMultilevel"/>
    <w:tmpl w:val="67A467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5"/>
  </w:num>
  <w:num w:numId="3">
    <w:abstractNumId w:val="15"/>
  </w:num>
  <w:num w:numId="4">
    <w:abstractNumId w:val="21"/>
  </w:num>
  <w:num w:numId="5">
    <w:abstractNumId w:val="39"/>
  </w:num>
  <w:num w:numId="6">
    <w:abstractNumId w:val="41"/>
  </w:num>
  <w:num w:numId="7">
    <w:abstractNumId w:val="26"/>
  </w:num>
  <w:num w:numId="8">
    <w:abstractNumId w:val="2"/>
  </w:num>
  <w:num w:numId="9">
    <w:abstractNumId w:val="22"/>
  </w:num>
  <w:num w:numId="10">
    <w:abstractNumId w:val="11"/>
  </w:num>
  <w:num w:numId="11">
    <w:abstractNumId w:val="31"/>
  </w:num>
  <w:num w:numId="12">
    <w:abstractNumId w:val="30"/>
  </w:num>
  <w:num w:numId="13">
    <w:abstractNumId w:val="6"/>
  </w:num>
  <w:num w:numId="14">
    <w:abstractNumId w:val="5"/>
  </w:num>
  <w:num w:numId="15">
    <w:abstractNumId w:val="19"/>
  </w:num>
  <w:num w:numId="16">
    <w:abstractNumId w:val="38"/>
  </w:num>
  <w:num w:numId="17">
    <w:abstractNumId w:val="7"/>
  </w:num>
  <w:num w:numId="18">
    <w:abstractNumId w:val="34"/>
  </w:num>
  <w:num w:numId="19">
    <w:abstractNumId w:val="20"/>
  </w:num>
  <w:num w:numId="20">
    <w:abstractNumId w:val="18"/>
  </w:num>
  <w:num w:numId="21">
    <w:abstractNumId w:val="1"/>
  </w:num>
  <w:num w:numId="22">
    <w:abstractNumId w:val="17"/>
  </w:num>
  <w:num w:numId="23">
    <w:abstractNumId w:val="16"/>
  </w:num>
  <w:num w:numId="24">
    <w:abstractNumId w:val="13"/>
  </w:num>
  <w:num w:numId="25">
    <w:abstractNumId w:val="24"/>
  </w:num>
  <w:num w:numId="26">
    <w:abstractNumId w:val="27"/>
  </w:num>
  <w:num w:numId="27">
    <w:abstractNumId w:val="3"/>
  </w:num>
  <w:num w:numId="28">
    <w:abstractNumId w:val="36"/>
  </w:num>
  <w:num w:numId="29">
    <w:abstractNumId w:val="14"/>
  </w:num>
  <w:num w:numId="30">
    <w:abstractNumId w:val="44"/>
  </w:num>
  <w:num w:numId="31">
    <w:abstractNumId w:val="23"/>
  </w:num>
  <w:num w:numId="32">
    <w:abstractNumId w:val="10"/>
  </w:num>
  <w:num w:numId="33">
    <w:abstractNumId w:val="0"/>
  </w:num>
  <w:num w:numId="34">
    <w:abstractNumId w:val="28"/>
  </w:num>
  <w:num w:numId="35">
    <w:abstractNumId w:val="29"/>
  </w:num>
  <w:num w:numId="36">
    <w:abstractNumId w:val="33"/>
  </w:num>
  <w:num w:numId="37">
    <w:abstractNumId w:val="25"/>
  </w:num>
  <w:num w:numId="38">
    <w:abstractNumId w:val="40"/>
  </w:num>
  <w:num w:numId="39">
    <w:abstractNumId w:val="37"/>
  </w:num>
  <w:num w:numId="40">
    <w:abstractNumId w:val="9"/>
  </w:num>
  <w:num w:numId="41">
    <w:abstractNumId w:val="32"/>
  </w:num>
  <w:num w:numId="42">
    <w:abstractNumId w:val="12"/>
  </w:num>
  <w:num w:numId="43">
    <w:abstractNumId w:val="43"/>
  </w:num>
  <w:num w:numId="44">
    <w:abstractNumId w:val="42"/>
  </w:num>
  <w:num w:numId="45">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9D"/>
    <w:rsid w:val="00046B21"/>
    <w:rsid w:val="00063F71"/>
    <w:rsid w:val="000661BF"/>
    <w:rsid w:val="00090EA5"/>
    <w:rsid w:val="00093CBE"/>
    <w:rsid w:val="000A5DF4"/>
    <w:rsid w:val="000B5985"/>
    <w:rsid w:val="000C281E"/>
    <w:rsid w:val="000C4619"/>
    <w:rsid w:val="000C6B50"/>
    <w:rsid w:val="000D1A2F"/>
    <w:rsid w:val="000E0DF8"/>
    <w:rsid w:val="000E1976"/>
    <w:rsid w:val="000E563F"/>
    <w:rsid w:val="000F0596"/>
    <w:rsid w:val="00101153"/>
    <w:rsid w:val="00101897"/>
    <w:rsid w:val="001135F8"/>
    <w:rsid w:val="00117ABD"/>
    <w:rsid w:val="0012007A"/>
    <w:rsid w:val="001218DB"/>
    <w:rsid w:val="00123993"/>
    <w:rsid w:val="00124EC9"/>
    <w:rsid w:val="00127964"/>
    <w:rsid w:val="00132FD0"/>
    <w:rsid w:val="00137AB5"/>
    <w:rsid w:val="0014664E"/>
    <w:rsid w:val="00150C4F"/>
    <w:rsid w:val="00150C71"/>
    <w:rsid w:val="00165303"/>
    <w:rsid w:val="0016662D"/>
    <w:rsid w:val="0017072D"/>
    <w:rsid w:val="00170C6E"/>
    <w:rsid w:val="00197485"/>
    <w:rsid w:val="001A0DB6"/>
    <w:rsid w:val="001A1ECC"/>
    <w:rsid w:val="001A7A93"/>
    <w:rsid w:val="001A7B4F"/>
    <w:rsid w:val="001B14A5"/>
    <w:rsid w:val="001C3022"/>
    <w:rsid w:val="001D06F5"/>
    <w:rsid w:val="001D5716"/>
    <w:rsid w:val="001D70A6"/>
    <w:rsid w:val="001E3EFE"/>
    <w:rsid w:val="001E7687"/>
    <w:rsid w:val="001F4AEA"/>
    <w:rsid w:val="002029DF"/>
    <w:rsid w:val="00204838"/>
    <w:rsid w:val="00204EB3"/>
    <w:rsid w:val="0021211E"/>
    <w:rsid w:val="00212AE9"/>
    <w:rsid w:val="00214A35"/>
    <w:rsid w:val="00236655"/>
    <w:rsid w:val="00247779"/>
    <w:rsid w:val="002574A3"/>
    <w:rsid w:val="00260C01"/>
    <w:rsid w:val="00261DC9"/>
    <w:rsid w:val="00263444"/>
    <w:rsid w:val="00265C6A"/>
    <w:rsid w:val="002720F4"/>
    <w:rsid w:val="00280D16"/>
    <w:rsid w:val="00285CA3"/>
    <w:rsid w:val="00286FD1"/>
    <w:rsid w:val="002A15E5"/>
    <w:rsid w:val="002B207D"/>
    <w:rsid w:val="002B36DB"/>
    <w:rsid w:val="002C3E93"/>
    <w:rsid w:val="002E3A4A"/>
    <w:rsid w:val="003002CC"/>
    <w:rsid w:val="0031119E"/>
    <w:rsid w:val="003145D1"/>
    <w:rsid w:val="00345D28"/>
    <w:rsid w:val="003706E5"/>
    <w:rsid w:val="00370D79"/>
    <w:rsid w:val="0037219D"/>
    <w:rsid w:val="003761E5"/>
    <w:rsid w:val="003806C1"/>
    <w:rsid w:val="0038205A"/>
    <w:rsid w:val="00383A8F"/>
    <w:rsid w:val="0038438B"/>
    <w:rsid w:val="00390B05"/>
    <w:rsid w:val="003A57E7"/>
    <w:rsid w:val="003B1396"/>
    <w:rsid w:val="003B29AA"/>
    <w:rsid w:val="003B4E91"/>
    <w:rsid w:val="003B5873"/>
    <w:rsid w:val="003C1D7A"/>
    <w:rsid w:val="003E283F"/>
    <w:rsid w:val="003F5F89"/>
    <w:rsid w:val="0040645A"/>
    <w:rsid w:val="00412393"/>
    <w:rsid w:val="00416FCF"/>
    <w:rsid w:val="0043692A"/>
    <w:rsid w:val="00441DFD"/>
    <w:rsid w:val="004477FB"/>
    <w:rsid w:val="00460C5E"/>
    <w:rsid w:val="004B2106"/>
    <w:rsid w:val="004C3497"/>
    <w:rsid w:val="004D03A6"/>
    <w:rsid w:val="004D76CB"/>
    <w:rsid w:val="004E715E"/>
    <w:rsid w:val="005032E1"/>
    <w:rsid w:val="005044AD"/>
    <w:rsid w:val="00504516"/>
    <w:rsid w:val="005062F7"/>
    <w:rsid w:val="005112E3"/>
    <w:rsid w:val="00514B9B"/>
    <w:rsid w:val="005231CA"/>
    <w:rsid w:val="005344A5"/>
    <w:rsid w:val="0054527D"/>
    <w:rsid w:val="00552696"/>
    <w:rsid w:val="00562A38"/>
    <w:rsid w:val="00566A4D"/>
    <w:rsid w:val="00567126"/>
    <w:rsid w:val="0058357A"/>
    <w:rsid w:val="005839B1"/>
    <w:rsid w:val="00587404"/>
    <w:rsid w:val="0059086A"/>
    <w:rsid w:val="00596EE6"/>
    <w:rsid w:val="005A1F2A"/>
    <w:rsid w:val="005B0B7D"/>
    <w:rsid w:val="005C0229"/>
    <w:rsid w:val="005C41F2"/>
    <w:rsid w:val="005D11B2"/>
    <w:rsid w:val="005D698E"/>
    <w:rsid w:val="005E128C"/>
    <w:rsid w:val="005F428C"/>
    <w:rsid w:val="005F45F0"/>
    <w:rsid w:val="005F475B"/>
    <w:rsid w:val="005F6C03"/>
    <w:rsid w:val="005F78EF"/>
    <w:rsid w:val="00602160"/>
    <w:rsid w:val="00603CFF"/>
    <w:rsid w:val="00612138"/>
    <w:rsid w:val="006144B7"/>
    <w:rsid w:val="00625B39"/>
    <w:rsid w:val="00626A5A"/>
    <w:rsid w:val="00646E48"/>
    <w:rsid w:val="0065105E"/>
    <w:rsid w:val="00657393"/>
    <w:rsid w:val="0067383A"/>
    <w:rsid w:val="00680433"/>
    <w:rsid w:val="00684279"/>
    <w:rsid w:val="006865F2"/>
    <w:rsid w:val="00692C57"/>
    <w:rsid w:val="00694565"/>
    <w:rsid w:val="0069628A"/>
    <w:rsid w:val="00696D46"/>
    <w:rsid w:val="006C1C35"/>
    <w:rsid w:val="006C5F31"/>
    <w:rsid w:val="006D1D22"/>
    <w:rsid w:val="006E0591"/>
    <w:rsid w:val="006E0E5A"/>
    <w:rsid w:val="006F0601"/>
    <w:rsid w:val="006F1E64"/>
    <w:rsid w:val="006F2F68"/>
    <w:rsid w:val="006F558F"/>
    <w:rsid w:val="00702AFE"/>
    <w:rsid w:val="0071509F"/>
    <w:rsid w:val="00715D0C"/>
    <w:rsid w:val="0072435E"/>
    <w:rsid w:val="00730C66"/>
    <w:rsid w:val="00731AE7"/>
    <w:rsid w:val="00744113"/>
    <w:rsid w:val="007450BC"/>
    <w:rsid w:val="00755724"/>
    <w:rsid w:val="00760075"/>
    <w:rsid w:val="007620BC"/>
    <w:rsid w:val="00766B29"/>
    <w:rsid w:val="00786041"/>
    <w:rsid w:val="00791E4B"/>
    <w:rsid w:val="007963F0"/>
    <w:rsid w:val="007B52EC"/>
    <w:rsid w:val="007B613C"/>
    <w:rsid w:val="007C0E02"/>
    <w:rsid w:val="007D2D13"/>
    <w:rsid w:val="007D70B7"/>
    <w:rsid w:val="007D7D19"/>
    <w:rsid w:val="007E4680"/>
    <w:rsid w:val="007E4A61"/>
    <w:rsid w:val="007E4F6E"/>
    <w:rsid w:val="00806DFE"/>
    <w:rsid w:val="008103AF"/>
    <w:rsid w:val="00813344"/>
    <w:rsid w:val="00815FBD"/>
    <w:rsid w:val="008250A5"/>
    <w:rsid w:val="00840B19"/>
    <w:rsid w:val="008462F5"/>
    <w:rsid w:val="00850BCB"/>
    <w:rsid w:val="00850DB4"/>
    <w:rsid w:val="00854F52"/>
    <w:rsid w:val="00860A9E"/>
    <w:rsid w:val="00871225"/>
    <w:rsid w:val="00881614"/>
    <w:rsid w:val="0089602C"/>
    <w:rsid w:val="00896904"/>
    <w:rsid w:val="008A038C"/>
    <w:rsid w:val="008A787B"/>
    <w:rsid w:val="008B6446"/>
    <w:rsid w:val="008B77F5"/>
    <w:rsid w:val="008C36ED"/>
    <w:rsid w:val="008C7B8F"/>
    <w:rsid w:val="009031FF"/>
    <w:rsid w:val="00904A0C"/>
    <w:rsid w:val="0091209E"/>
    <w:rsid w:val="0091427A"/>
    <w:rsid w:val="0091662D"/>
    <w:rsid w:val="00923BE8"/>
    <w:rsid w:val="009245E2"/>
    <w:rsid w:val="00943554"/>
    <w:rsid w:val="00947894"/>
    <w:rsid w:val="009556EB"/>
    <w:rsid w:val="0096593F"/>
    <w:rsid w:val="009701C7"/>
    <w:rsid w:val="00975BB5"/>
    <w:rsid w:val="00991A09"/>
    <w:rsid w:val="009B37D7"/>
    <w:rsid w:val="009C055D"/>
    <w:rsid w:val="009D23EF"/>
    <w:rsid w:val="009F3BCB"/>
    <w:rsid w:val="009F5AB2"/>
    <w:rsid w:val="00A05DF9"/>
    <w:rsid w:val="00A10A59"/>
    <w:rsid w:val="00A179C3"/>
    <w:rsid w:val="00A245BC"/>
    <w:rsid w:val="00A259B7"/>
    <w:rsid w:val="00A30154"/>
    <w:rsid w:val="00A377BA"/>
    <w:rsid w:val="00A44917"/>
    <w:rsid w:val="00A45A8B"/>
    <w:rsid w:val="00A52686"/>
    <w:rsid w:val="00A52D0D"/>
    <w:rsid w:val="00A71E51"/>
    <w:rsid w:val="00A74C5C"/>
    <w:rsid w:val="00A809D0"/>
    <w:rsid w:val="00A836DE"/>
    <w:rsid w:val="00A85BF3"/>
    <w:rsid w:val="00A86C3D"/>
    <w:rsid w:val="00A949EE"/>
    <w:rsid w:val="00AB6FDA"/>
    <w:rsid w:val="00AC2158"/>
    <w:rsid w:val="00AC49FE"/>
    <w:rsid w:val="00AC74D6"/>
    <w:rsid w:val="00AD0224"/>
    <w:rsid w:val="00AD301F"/>
    <w:rsid w:val="00AE21AE"/>
    <w:rsid w:val="00AF0653"/>
    <w:rsid w:val="00AF0F87"/>
    <w:rsid w:val="00AF3426"/>
    <w:rsid w:val="00B07AC4"/>
    <w:rsid w:val="00B14656"/>
    <w:rsid w:val="00B14ABE"/>
    <w:rsid w:val="00B26240"/>
    <w:rsid w:val="00B271D8"/>
    <w:rsid w:val="00B37DBF"/>
    <w:rsid w:val="00B44520"/>
    <w:rsid w:val="00B675C9"/>
    <w:rsid w:val="00B749B3"/>
    <w:rsid w:val="00B961E3"/>
    <w:rsid w:val="00BA4676"/>
    <w:rsid w:val="00BC7E42"/>
    <w:rsid w:val="00BE0EEB"/>
    <w:rsid w:val="00BE5E8C"/>
    <w:rsid w:val="00BE7BB0"/>
    <w:rsid w:val="00BF109D"/>
    <w:rsid w:val="00C010A4"/>
    <w:rsid w:val="00C0443E"/>
    <w:rsid w:val="00C065A3"/>
    <w:rsid w:val="00C22A22"/>
    <w:rsid w:val="00C23977"/>
    <w:rsid w:val="00C2731C"/>
    <w:rsid w:val="00C27460"/>
    <w:rsid w:val="00C31CCF"/>
    <w:rsid w:val="00C403AE"/>
    <w:rsid w:val="00C4097C"/>
    <w:rsid w:val="00C557A5"/>
    <w:rsid w:val="00C6419B"/>
    <w:rsid w:val="00C75975"/>
    <w:rsid w:val="00C767D3"/>
    <w:rsid w:val="00C9320F"/>
    <w:rsid w:val="00C933FA"/>
    <w:rsid w:val="00CB1718"/>
    <w:rsid w:val="00CD03B3"/>
    <w:rsid w:val="00CE4341"/>
    <w:rsid w:val="00CF0AD1"/>
    <w:rsid w:val="00CF6993"/>
    <w:rsid w:val="00D00429"/>
    <w:rsid w:val="00D02421"/>
    <w:rsid w:val="00D169F9"/>
    <w:rsid w:val="00D51A2F"/>
    <w:rsid w:val="00D72755"/>
    <w:rsid w:val="00D8450D"/>
    <w:rsid w:val="00D87461"/>
    <w:rsid w:val="00D90519"/>
    <w:rsid w:val="00D9227E"/>
    <w:rsid w:val="00DA34CD"/>
    <w:rsid w:val="00DA362E"/>
    <w:rsid w:val="00DA560F"/>
    <w:rsid w:val="00DA70DC"/>
    <w:rsid w:val="00DB5D7D"/>
    <w:rsid w:val="00DC3EA4"/>
    <w:rsid w:val="00DE1404"/>
    <w:rsid w:val="00DE1A55"/>
    <w:rsid w:val="00DE324A"/>
    <w:rsid w:val="00DF5D44"/>
    <w:rsid w:val="00DF6637"/>
    <w:rsid w:val="00E04EA4"/>
    <w:rsid w:val="00E26D4C"/>
    <w:rsid w:val="00E340E4"/>
    <w:rsid w:val="00E346E0"/>
    <w:rsid w:val="00E44442"/>
    <w:rsid w:val="00E45F0D"/>
    <w:rsid w:val="00E601EE"/>
    <w:rsid w:val="00E6077D"/>
    <w:rsid w:val="00E652FA"/>
    <w:rsid w:val="00E8697E"/>
    <w:rsid w:val="00E90D0B"/>
    <w:rsid w:val="00E91662"/>
    <w:rsid w:val="00E93807"/>
    <w:rsid w:val="00E95170"/>
    <w:rsid w:val="00EA372A"/>
    <w:rsid w:val="00EB1E8C"/>
    <w:rsid w:val="00EB4829"/>
    <w:rsid w:val="00EB6374"/>
    <w:rsid w:val="00EC4C8C"/>
    <w:rsid w:val="00ED38AE"/>
    <w:rsid w:val="00ED4B83"/>
    <w:rsid w:val="00EE1077"/>
    <w:rsid w:val="00EE6311"/>
    <w:rsid w:val="00EE6A7D"/>
    <w:rsid w:val="00EF05E0"/>
    <w:rsid w:val="00EF2465"/>
    <w:rsid w:val="00F3353F"/>
    <w:rsid w:val="00F40CB7"/>
    <w:rsid w:val="00F44BAA"/>
    <w:rsid w:val="00F505AC"/>
    <w:rsid w:val="00F56586"/>
    <w:rsid w:val="00F613FB"/>
    <w:rsid w:val="00F616D3"/>
    <w:rsid w:val="00F62FBB"/>
    <w:rsid w:val="00F67753"/>
    <w:rsid w:val="00F76919"/>
    <w:rsid w:val="00F76EC2"/>
    <w:rsid w:val="00F8161B"/>
    <w:rsid w:val="00FA5CF7"/>
    <w:rsid w:val="00FB3D47"/>
    <w:rsid w:val="00FF6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334A52"/>
  <w15:docId w15:val="{F57573F1-AEC1-41A4-85B4-1D37CAB2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9D"/>
  </w:style>
  <w:style w:type="paragraph" w:styleId="Footer">
    <w:name w:val="footer"/>
    <w:basedOn w:val="Normal"/>
    <w:link w:val="FooterChar"/>
    <w:uiPriority w:val="99"/>
    <w:unhideWhenUsed/>
    <w:rsid w:val="00BF1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9D"/>
  </w:style>
  <w:style w:type="table" w:styleId="TableGrid">
    <w:name w:val="Table Grid"/>
    <w:basedOn w:val="TableNormal"/>
    <w:uiPriority w:val="59"/>
    <w:rsid w:val="00BF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4D6"/>
    <w:pPr>
      <w:ind w:left="720"/>
      <w:contextualSpacing/>
    </w:pPr>
  </w:style>
  <w:style w:type="paragraph" w:styleId="BalloonText">
    <w:name w:val="Balloon Text"/>
    <w:basedOn w:val="Normal"/>
    <w:link w:val="BalloonTextChar"/>
    <w:uiPriority w:val="99"/>
    <w:semiHidden/>
    <w:unhideWhenUsed/>
    <w:rsid w:val="00D00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29"/>
    <w:rPr>
      <w:rFonts w:ascii="Tahoma" w:hAnsi="Tahoma" w:cs="Tahoma"/>
      <w:sz w:val="16"/>
      <w:szCs w:val="16"/>
    </w:rPr>
  </w:style>
  <w:style w:type="paragraph" w:customStyle="1" w:styleId="Default">
    <w:name w:val="Default"/>
    <w:rsid w:val="00261DC9"/>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1218DB"/>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rsid w:val="001218DB"/>
    <w:rPr>
      <w:rFonts w:ascii="Arial" w:eastAsia="Times New Roman" w:hAnsi="Arial" w:cs="Times New Roman"/>
      <w:sz w:val="20"/>
      <w:szCs w:val="20"/>
      <w:lang w:val="en-US"/>
    </w:rPr>
  </w:style>
  <w:style w:type="paragraph" w:styleId="Revision">
    <w:name w:val="Revision"/>
    <w:hidden/>
    <w:uiPriority w:val="99"/>
    <w:semiHidden/>
    <w:rsid w:val="00090EA5"/>
    <w:pPr>
      <w:spacing w:after="0" w:line="240" w:lineRule="auto"/>
    </w:pPr>
  </w:style>
  <w:style w:type="character" w:styleId="CommentReference">
    <w:name w:val="annotation reference"/>
    <w:basedOn w:val="DefaultParagraphFont"/>
    <w:uiPriority w:val="99"/>
    <w:semiHidden/>
    <w:unhideWhenUsed/>
    <w:rsid w:val="00280D16"/>
    <w:rPr>
      <w:sz w:val="16"/>
      <w:szCs w:val="16"/>
    </w:rPr>
  </w:style>
  <w:style w:type="paragraph" w:styleId="CommentSubject">
    <w:name w:val="annotation subject"/>
    <w:basedOn w:val="CommentText"/>
    <w:next w:val="CommentText"/>
    <w:link w:val="CommentSubjectChar"/>
    <w:uiPriority w:val="99"/>
    <w:semiHidden/>
    <w:unhideWhenUsed/>
    <w:rsid w:val="00280D16"/>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280D16"/>
    <w:rPr>
      <w:rFonts w:ascii="Arial" w:eastAsia="Times New Roman" w:hAnsi="Arial" w:cs="Times New Roman"/>
      <w:b/>
      <w:bCs/>
      <w:sz w:val="20"/>
      <w:szCs w:val="20"/>
      <w:lang w:val="en-US"/>
    </w:rPr>
  </w:style>
  <w:style w:type="paragraph" w:customStyle="1" w:styleId="Bullets">
    <w:name w:val="Bullets"/>
    <w:basedOn w:val="Normal"/>
    <w:qFormat/>
    <w:rsid w:val="00871225"/>
    <w:pPr>
      <w:numPr>
        <w:numId w:val="3"/>
      </w:numPr>
      <w:spacing w:after="120"/>
      <w:jc w:val="both"/>
    </w:pPr>
    <w:rPr>
      <w:rFonts w:ascii="Arial" w:eastAsia="Times New Roman" w:hAnsi="Arial" w:cs="Times New Roman"/>
      <w:sz w:val="24"/>
      <w:szCs w:val="24"/>
    </w:rPr>
  </w:style>
  <w:style w:type="paragraph" w:customStyle="1" w:styleId="SubBullets">
    <w:name w:val="Sub Bullets"/>
    <w:basedOn w:val="Bullets"/>
    <w:qFormat/>
    <w:rsid w:val="00871225"/>
    <w:pPr>
      <w:numPr>
        <w:ilvl w:val="1"/>
      </w:numPr>
    </w:pPr>
  </w:style>
  <w:style w:type="table" w:customStyle="1" w:styleId="TableGrid1">
    <w:name w:val="Table Grid1"/>
    <w:basedOn w:val="TableNormal"/>
    <w:next w:val="TableGrid"/>
    <w:uiPriority w:val="59"/>
    <w:rsid w:val="00903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2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74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HBullets">
    <w:name w:val="BH Bullets"/>
    <w:uiPriority w:val="99"/>
    <w:rsid w:val="00416FCF"/>
    <w:pPr>
      <w:numPr>
        <w:numId w:val="6"/>
      </w:numPr>
    </w:pPr>
  </w:style>
  <w:style w:type="paragraph" w:styleId="ListBullet">
    <w:name w:val="List Bullet"/>
    <w:basedOn w:val="Normal"/>
    <w:uiPriority w:val="8"/>
    <w:unhideWhenUsed/>
    <w:qFormat/>
    <w:rsid w:val="00416FCF"/>
    <w:pPr>
      <w:numPr>
        <w:numId w:val="6"/>
      </w:numPr>
      <w:spacing w:before="160" w:after="160" w:line="240" w:lineRule="auto"/>
      <w:contextualSpacing/>
    </w:pPr>
    <w:rPr>
      <w:sz w:val="20"/>
      <w:szCs w:val="20"/>
    </w:rPr>
  </w:style>
  <w:style w:type="character" w:styleId="Hyperlink">
    <w:name w:val="Hyperlink"/>
    <w:uiPriority w:val="99"/>
    <w:unhideWhenUsed/>
    <w:rsid w:val="004D0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473">
      <w:bodyDiv w:val="1"/>
      <w:marLeft w:val="0"/>
      <w:marRight w:val="0"/>
      <w:marTop w:val="0"/>
      <w:marBottom w:val="0"/>
      <w:divBdr>
        <w:top w:val="none" w:sz="0" w:space="0" w:color="auto"/>
        <w:left w:val="none" w:sz="0" w:space="0" w:color="auto"/>
        <w:bottom w:val="none" w:sz="0" w:space="0" w:color="auto"/>
        <w:right w:val="none" w:sz="0" w:space="0" w:color="auto"/>
      </w:divBdr>
    </w:div>
    <w:div w:id="77600410">
      <w:bodyDiv w:val="1"/>
      <w:marLeft w:val="0"/>
      <w:marRight w:val="0"/>
      <w:marTop w:val="0"/>
      <w:marBottom w:val="0"/>
      <w:divBdr>
        <w:top w:val="none" w:sz="0" w:space="0" w:color="auto"/>
        <w:left w:val="none" w:sz="0" w:space="0" w:color="auto"/>
        <w:bottom w:val="none" w:sz="0" w:space="0" w:color="auto"/>
        <w:right w:val="none" w:sz="0" w:space="0" w:color="auto"/>
      </w:divBdr>
    </w:div>
    <w:div w:id="373506113">
      <w:bodyDiv w:val="1"/>
      <w:marLeft w:val="0"/>
      <w:marRight w:val="0"/>
      <w:marTop w:val="0"/>
      <w:marBottom w:val="0"/>
      <w:divBdr>
        <w:top w:val="none" w:sz="0" w:space="0" w:color="auto"/>
        <w:left w:val="none" w:sz="0" w:space="0" w:color="auto"/>
        <w:bottom w:val="none" w:sz="0" w:space="0" w:color="auto"/>
        <w:right w:val="none" w:sz="0" w:space="0" w:color="auto"/>
      </w:divBdr>
    </w:div>
    <w:div w:id="892693012">
      <w:bodyDiv w:val="1"/>
      <w:marLeft w:val="0"/>
      <w:marRight w:val="0"/>
      <w:marTop w:val="0"/>
      <w:marBottom w:val="0"/>
      <w:divBdr>
        <w:top w:val="none" w:sz="0" w:space="0" w:color="auto"/>
        <w:left w:val="none" w:sz="0" w:space="0" w:color="auto"/>
        <w:bottom w:val="none" w:sz="0" w:space="0" w:color="auto"/>
        <w:right w:val="none" w:sz="0" w:space="0" w:color="auto"/>
      </w:divBdr>
    </w:div>
    <w:div w:id="1189026118">
      <w:bodyDiv w:val="1"/>
      <w:marLeft w:val="0"/>
      <w:marRight w:val="0"/>
      <w:marTop w:val="0"/>
      <w:marBottom w:val="0"/>
      <w:divBdr>
        <w:top w:val="none" w:sz="0" w:space="0" w:color="auto"/>
        <w:left w:val="none" w:sz="0" w:space="0" w:color="auto"/>
        <w:bottom w:val="none" w:sz="0" w:space="0" w:color="auto"/>
        <w:right w:val="none" w:sz="0" w:space="0" w:color="auto"/>
      </w:divBdr>
    </w:div>
    <w:div w:id="1627346381">
      <w:bodyDiv w:val="1"/>
      <w:marLeft w:val="0"/>
      <w:marRight w:val="0"/>
      <w:marTop w:val="0"/>
      <w:marBottom w:val="0"/>
      <w:divBdr>
        <w:top w:val="none" w:sz="0" w:space="0" w:color="auto"/>
        <w:left w:val="none" w:sz="0" w:space="0" w:color="auto"/>
        <w:bottom w:val="none" w:sz="0" w:space="0" w:color="auto"/>
        <w:right w:val="none" w:sz="0" w:space="0" w:color="auto"/>
      </w:divBdr>
    </w:div>
    <w:div w:id="16791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6AEA10563F984780DF886C74579EEF" ma:contentTypeVersion="13" ma:contentTypeDescription="Create a new document." ma:contentTypeScope="" ma:versionID="41f6bafb640cd5747eb735d05922dda1">
  <xsd:schema xmlns:xsd="http://www.w3.org/2001/XMLSchema" xmlns:xs="http://www.w3.org/2001/XMLSchema" xmlns:p="http://schemas.microsoft.com/office/2006/metadata/properties" xmlns:ns2="76ce6daf-1946-43d2-bde0-017f0d928c3c" xmlns:ns3="ec763d0b-e8a5-43af-af0a-3840cbcea031" targetNamespace="http://schemas.microsoft.com/office/2006/metadata/properties" ma:root="true" ma:fieldsID="9c1f18d54e68a0503f0b863258e39d3b" ns2:_="" ns3:_="">
    <xsd:import namespace="76ce6daf-1946-43d2-bde0-017f0d928c3c"/>
    <xsd:import namespace="ec763d0b-e8a5-43af-af0a-3840cbcea0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e6daf-1946-43d2-bde0-017f0d928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763d0b-e8a5-43af-af0a-3840cbcea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88E7B-34E0-45FE-A276-DA36D88508F5}">
  <ds:schemaRefs>
    <ds:schemaRef ds:uri="http://schemas.openxmlformats.org/officeDocument/2006/bibliography"/>
  </ds:schemaRefs>
</ds:datastoreItem>
</file>

<file path=customXml/itemProps2.xml><?xml version="1.0" encoding="utf-8"?>
<ds:datastoreItem xmlns:ds="http://schemas.openxmlformats.org/officeDocument/2006/customXml" ds:itemID="{E6BE5A16-1F23-4FC3-9181-E3DDA90D672B}"/>
</file>

<file path=customXml/itemProps3.xml><?xml version="1.0" encoding="utf-8"?>
<ds:datastoreItem xmlns:ds="http://schemas.openxmlformats.org/officeDocument/2006/customXml" ds:itemID="{4AA003FF-DDE2-4D66-A779-38878EB50351}"/>
</file>

<file path=customXml/itemProps4.xml><?xml version="1.0" encoding="utf-8"?>
<ds:datastoreItem xmlns:ds="http://schemas.openxmlformats.org/officeDocument/2006/customXml" ds:itemID="{6765E408-3F76-43CC-A2A9-FDAE2971DF1E}"/>
</file>

<file path=docProps/app.xml><?xml version="1.0" encoding="utf-8"?>
<Properties xmlns="http://schemas.openxmlformats.org/officeDocument/2006/extended-properties" xmlns:vt="http://schemas.openxmlformats.org/officeDocument/2006/docPropsVTypes">
  <Template>Normal</Template>
  <TotalTime>44</TotalTime>
  <Pages>6</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Bolton At Home</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Bailey, Tracey</dc:creator>
  <cp:lastModifiedBy>Bailey, Tracey</cp:lastModifiedBy>
  <cp:revision>10</cp:revision>
  <cp:lastPrinted>2018-08-15T09:38:00Z</cp:lastPrinted>
  <dcterms:created xsi:type="dcterms:W3CDTF">2022-03-24T11:05:00Z</dcterms:created>
  <dcterms:modified xsi:type="dcterms:W3CDTF">2022-05-03T15:10:00Z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y fmtid="{D5CDD505-2E9C-101B-9397-08002B2CF9AE}" pid="3" name="ContentTypeId">
    <vt:lpwstr>0x010100E26AEA10563F984780DF886C74579EEF</vt:lpwstr>
  </property>
</Properties>
</file>