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
        <w:gridCol w:w="5321"/>
        <w:gridCol w:w="9365"/>
      </w:tblGrid>
      <w:tr w:rsidR="00CF3535" w:rsidRPr="00261DC9" w14:paraId="72FB5CFF" w14:textId="77777777" w:rsidTr="00FC09AD">
        <w:trPr>
          <w:tblHeader/>
        </w:trPr>
        <w:tc>
          <w:tcPr>
            <w:tcW w:w="7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808080" w:themeFill="background1" w:themeFillShade="80"/>
            <w:vAlign w:val="center"/>
          </w:tcPr>
          <w:p w14:paraId="5484A38A" w14:textId="77777777" w:rsidR="00CF3535" w:rsidRPr="007E6134" w:rsidRDefault="00CF3535" w:rsidP="006B5967">
            <w:pPr>
              <w:jc w:val="center"/>
              <w:rPr>
                <w:rFonts w:ascii="Verdana" w:hAnsi="Verdana"/>
                <w:b/>
                <w:color w:val="FFFFFF" w:themeColor="background1"/>
                <w:sz w:val="16"/>
                <w:szCs w:val="16"/>
              </w:rPr>
            </w:pPr>
            <w:r w:rsidRPr="007E6134">
              <w:rPr>
                <w:rFonts w:ascii="Verdana" w:hAnsi="Verdana"/>
                <w:b/>
                <w:color w:val="FFFFFF" w:themeColor="background1"/>
                <w:sz w:val="16"/>
                <w:szCs w:val="16"/>
              </w:rPr>
              <w:t>RSH ref</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808080" w:themeFill="background1" w:themeFillShade="80"/>
            <w:vAlign w:val="center"/>
          </w:tcPr>
          <w:p w14:paraId="7F82CDCE" w14:textId="77777777" w:rsidR="00CF3535" w:rsidRPr="007E6134" w:rsidRDefault="00CF3535" w:rsidP="006B5967">
            <w:pPr>
              <w:jc w:val="center"/>
              <w:rPr>
                <w:rFonts w:ascii="Verdana" w:hAnsi="Verdana"/>
                <w:b/>
                <w:color w:val="FFFFFF" w:themeColor="background1"/>
                <w:sz w:val="16"/>
                <w:szCs w:val="16"/>
              </w:rPr>
            </w:pPr>
            <w:r w:rsidRPr="007E6134">
              <w:rPr>
                <w:rFonts w:ascii="Verdana" w:hAnsi="Verdana"/>
                <w:b/>
                <w:color w:val="FFFFFF" w:themeColor="background1"/>
                <w:sz w:val="16"/>
                <w:szCs w:val="16"/>
              </w:rPr>
              <w:t>RSH requirements</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5F497A" w:themeFill="accent4" w:themeFillShade="BF"/>
            <w:vAlign w:val="center"/>
          </w:tcPr>
          <w:p w14:paraId="58A2A3A9" w14:textId="77777777" w:rsidR="00CF3535" w:rsidRPr="007E6134" w:rsidRDefault="00CF3535" w:rsidP="006B5967">
            <w:pPr>
              <w:jc w:val="center"/>
              <w:rPr>
                <w:rFonts w:ascii="Verdana" w:hAnsi="Verdana"/>
                <w:b/>
                <w:color w:val="FFFFFF" w:themeColor="background1"/>
                <w:sz w:val="16"/>
                <w:szCs w:val="16"/>
              </w:rPr>
            </w:pPr>
          </w:p>
          <w:p w14:paraId="726D7E9B" w14:textId="7F0717F5" w:rsidR="00CF3535" w:rsidRPr="007E6134" w:rsidRDefault="00CF3535" w:rsidP="006B5967">
            <w:pPr>
              <w:jc w:val="center"/>
              <w:rPr>
                <w:rFonts w:ascii="Verdana" w:hAnsi="Verdana"/>
                <w:b/>
                <w:color w:val="FFFFFF" w:themeColor="background1"/>
                <w:sz w:val="16"/>
                <w:szCs w:val="16"/>
              </w:rPr>
            </w:pPr>
            <w:r w:rsidRPr="007E6134">
              <w:rPr>
                <w:rFonts w:ascii="Verdana" w:hAnsi="Verdana"/>
                <w:b/>
                <w:color w:val="FFFFFF" w:themeColor="background1"/>
                <w:sz w:val="16"/>
                <w:szCs w:val="16"/>
              </w:rPr>
              <w:t xml:space="preserve">How </w:t>
            </w:r>
            <w:r>
              <w:rPr>
                <w:rFonts w:ascii="Verdana" w:hAnsi="Verdana"/>
                <w:b/>
                <w:color w:val="FFFFFF" w:themeColor="background1"/>
                <w:sz w:val="16"/>
                <w:szCs w:val="16"/>
              </w:rPr>
              <w:t>we</w:t>
            </w:r>
            <w:r w:rsidRPr="007E6134">
              <w:rPr>
                <w:rFonts w:ascii="Verdana" w:hAnsi="Verdana"/>
                <w:b/>
                <w:color w:val="FFFFFF" w:themeColor="background1"/>
                <w:sz w:val="16"/>
                <w:szCs w:val="16"/>
              </w:rPr>
              <w:t xml:space="preserve"> comply and Board assurance</w:t>
            </w:r>
          </w:p>
          <w:p w14:paraId="28EEFA0C" w14:textId="7C1720CB" w:rsidR="00CF3535" w:rsidRPr="007E6134" w:rsidRDefault="00CF3535" w:rsidP="006B5967">
            <w:pPr>
              <w:jc w:val="center"/>
              <w:rPr>
                <w:rFonts w:ascii="Verdana" w:hAnsi="Verdana"/>
                <w:b/>
                <w:color w:val="FFFFFF" w:themeColor="background1"/>
                <w:sz w:val="16"/>
                <w:szCs w:val="16"/>
              </w:rPr>
            </w:pPr>
          </w:p>
        </w:tc>
      </w:tr>
      <w:tr w:rsidR="008578D4" w:rsidRPr="00261DC9" w14:paraId="4EBE9487" w14:textId="77777777" w:rsidTr="00CF3535">
        <w:tc>
          <w:tcPr>
            <w:tcW w:w="760" w:type="dxa"/>
            <w:tcBorders>
              <w:top w:val="double" w:sz="4" w:space="0" w:color="A6A6A6" w:themeColor="background1" w:themeShade="A6"/>
              <w:left w:val="double" w:sz="4" w:space="0" w:color="A6A6A6" w:themeColor="background1" w:themeShade="A6"/>
              <w:bottom w:val="double" w:sz="4" w:space="0" w:color="A6A6A6" w:themeColor="background1" w:themeShade="A6"/>
            </w:tcBorders>
            <w:shd w:val="clear" w:color="auto" w:fill="A6A6A6" w:themeFill="background1" w:themeFillShade="A6"/>
          </w:tcPr>
          <w:p w14:paraId="302B9D25" w14:textId="77777777" w:rsidR="008578D4" w:rsidRPr="00261DC9" w:rsidRDefault="008578D4" w:rsidP="006B5967">
            <w:pPr>
              <w:rPr>
                <w:rFonts w:ascii="Verdana" w:hAnsi="Verdana"/>
                <w:b/>
                <w:sz w:val="16"/>
                <w:szCs w:val="16"/>
              </w:rPr>
            </w:pPr>
          </w:p>
          <w:p w14:paraId="14386DAF" w14:textId="77777777" w:rsidR="008578D4" w:rsidRPr="00261DC9" w:rsidRDefault="008578D4" w:rsidP="006B5967">
            <w:pPr>
              <w:rPr>
                <w:rFonts w:ascii="Verdana" w:hAnsi="Verdana"/>
                <w:b/>
                <w:sz w:val="16"/>
                <w:szCs w:val="16"/>
              </w:rPr>
            </w:pPr>
            <w:r w:rsidRPr="00261DC9">
              <w:rPr>
                <w:rFonts w:ascii="Verdana" w:hAnsi="Verdana"/>
                <w:b/>
                <w:sz w:val="16"/>
                <w:szCs w:val="16"/>
              </w:rPr>
              <w:t>1.</w:t>
            </w:r>
          </w:p>
        </w:tc>
        <w:tc>
          <w:tcPr>
            <w:tcW w:w="14686" w:type="dxa"/>
            <w:gridSpan w:val="2"/>
            <w:tcBorders>
              <w:top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6A6A6" w:themeFill="background1" w:themeFillShade="A6"/>
          </w:tcPr>
          <w:p w14:paraId="53D492DD" w14:textId="77777777" w:rsidR="008578D4" w:rsidRPr="00261DC9" w:rsidRDefault="008578D4" w:rsidP="006B5967">
            <w:pPr>
              <w:rPr>
                <w:rFonts w:ascii="Verdana" w:hAnsi="Verdana"/>
                <w:b/>
                <w:sz w:val="16"/>
                <w:szCs w:val="16"/>
              </w:rPr>
            </w:pPr>
          </w:p>
          <w:p w14:paraId="1D12FC48" w14:textId="77777777" w:rsidR="008578D4" w:rsidRPr="00261DC9" w:rsidRDefault="008578D4" w:rsidP="006B5967">
            <w:pPr>
              <w:rPr>
                <w:rFonts w:ascii="Verdana" w:hAnsi="Verdana"/>
                <w:b/>
                <w:sz w:val="16"/>
                <w:szCs w:val="16"/>
              </w:rPr>
            </w:pPr>
            <w:r w:rsidRPr="00261DC9">
              <w:rPr>
                <w:rFonts w:ascii="Verdana" w:hAnsi="Verdana"/>
                <w:b/>
                <w:sz w:val="16"/>
                <w:szCs w:val="16"/>
              </w:rPr>
              <w:t xml:space="preserve">Required Outcomes  </w:t>
            </w:r>
          </w:p>
          <w:p w14:paraId="7C652162" w14:textId="77777777" w:rsidR="008578D4" w:rsidRPr="00261DC9" w:rsidRDefault="008578D4" w:rsidP="006B5967">
            <w:pPr>
              <w:rPr>
                <w:rFonts w:ascii="Verdana" w:hAnsi="Verdana"/>
                <w:b/>
                <w:sz w:val="16"/>
                <w:szCs w:val="16"/>
              </w:rPr>
            </w:pPr>
          </w:p>
        </w:tc>
      </w:tr>
      <w:tr w:rsidR="00CF3535" w:rsidRPr="00261DC9" w14:paraId="2EF371C2" w14:textId="77777777" w:rsidTr="0039625F">
        <w:trPr>
          <w:trHeight w:val="266"/>
        </w:trPr>
        <w:tc>
          <w:tcPr>
            <w:tcW w:w="760" w:type="dxa"/>
            <w:tcBorders>
              <w:top w:val="double" w:sz="4" w:space="0" w:color="A6A6A6" w:themeColor="background1" w:themeShade="A6"/>
              <w:left w:val="double" w:sz="4" w:space="0" w:color="A6A6A6" w:themeColor="background1" w:themeShade="A6"/>
              <w:bottom w:val="nil"/>
              <w:right w:val="double" w:sz="4" w:space="0" w:color="A6A6A6" w:themeColor="background1" w:themeShade="A6"/>
            </w:tcBorders>
            <w:shd w:val="clear" w:color="auto" w:fill="F2F2F2" w:themeFill="background1" w:themeFillShade="F2"/>
          </w:tcPr>
          <w:p w14:paraId="0054D67D" w14:textId="77777777" w:rsidR="00CF3535" w:rsidRPr="00261DC9" w:rsidRDefault="00CF3535" w:rsidP="006B5967">
            <w:pPr>
              <w:rPr>
                <w:rFonts w:ascii="Verdana" w:hAnsi="Verdana"/>
                <w:sz w:val="16"/>
                <w:szCs w:val="16"/>
              </w:rPr>
            </w:pPr>
            <w:r w:rsidRPr="00261DC9">
              <w:rPr>
                <w:rFonts w:ascii="Verdana" w:hAnsi="Verdana"/>
                <w:sz w:val="16"/>
                <w:szCs w:val="16"/>
              </w:rPr>
              <w:t>1.1</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51B52BE9" w14:textId="77777777" w:rsidR="00CF3535" w:rsidRPr="00261DC9" w:rsidRDefault="00CF3535" w:rsidP="006B5967">
            <w:pPr>
              <w:rPr>
                <w:rFonts w:ascii="Verdana" w:hAnsi="Verdana"/>
                <w:sz w:val="16"/>
                <w:szCs w:val="16"/>
              </w:rPr>
            </w:pPr>
            <w:r w:rsidRPr="004F10EB">
              <w:rPr>
                <w:rFonts w:ascii="Verdana" w:hAnsi="Verdana"/>
                <w:sz w:val="16"/>
                <w:szCs w:val="16"/>
              </w:rPr>
              <w:t xml:space="preserve">Registered providers </w:t>
            </w:r>
            <w:r w:rsidRPr="00F84E52">
              <w:rPr>
                <w:rFonts w:ascii="Verdana" w:hAnsi="Verdana"/>
                <w:b/>
                <w:sz w:val="16"/>
                <w:szCs w:val="16"/>
              </w:rPr>
              <w:t>must set rents from 1 April 2020 in accordance with the Government’s Policy Statement</w:t>
            </w:r>
            <w:r w:rsidRPr="004F10EB">
              <w:rPr>
                <w:rFonts w:ascii="Verdana" w:hAnsi="Verdana"/>
                <w:sz w:val="16"/>
                <w:szCs w:val="16"/>
              </w:rPr>
              <w:t xml:space="preserve"> on Rents for Social Housing 2018 (hereafter Rent Policy Statement) which can be found on the Ministry of Housing, Communities and Local Government (MHCLG) website.</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8DFE6B4"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30A2571E" w14:textId="77777777" w:rsidR="00CF3535" w:rsidRPr="00B02749" w:rsidRDefault="00CF3535" w:rsidP="00CF3535">
            <w:pPr>
              <w:rPr>
                <w:rFonts w:ascii="Verdana" w:hAnsi="Verdana"/>
                <w:sz w:val="16"/>
                <w:szCs w:val="16"/>
              </w:rPr>
            </w:pPr>
          </w:p>
          <w:p w14:paraId="5EF4D790" w14:textId="77777777" w:rsidR="00CF3535" w:rsidRPr="00B02749" w:rsidRDefault="00CF3535" w:rsidP="00CF3535">
            <w:pPr>
              <w:rPr>
                <w:rFonts w:ascii="Verdana" w:hAnsi="Verdana"/>
                <w:sz w:val="16"/>
                <w:szCs w:val="16"/>
              </w:rPr>
            </w:pPr>
          </w:p>
          <w:p w14:paraId="71FE9BF5"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FB1EE61" w14:textId="77777777" w:rsidR="00CF3535" w:rsidRPr="00B02749" w:rsidRDefault="00CF3535" w:rsidP="00CF3535">
            <w:pPr>
              <w:pStyle w:val="ListParagraph"/>
              <w:numPr>
                <w:ilvl w:val="0"/>
                <w:numId w:val="2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7812DA20" w14:textId="77777777" w:rsidR="00CF3535" w:rsidRPr="00B02749" w:rsidRDefault="00CF3535" w:rsidP="00CF3535">
            <w:pPr>
              <w:pStyle w:val="ListParagraph"/>
              <w:numPr>
                <w:ilvl w:val="0"/>
                <w:numId w:val="2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0646E421" w14:textId="77777777" w:rsidR="00CF3535" w:rsidRPr="00B02749" w:rsidRDefault="00CF3535" w:rsidP="00CF3535">
            <w:pPr>
              <w:pStyle w:val="ListParagraph"/>
              <w:numPr>
                <w:ilvl w:val="0"/>
                <w:numId w:val="2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68AA8C0B" w14:textId="77777777" w:rsidR="00CF3535" w:rsidRPr="00B02749" w:rsidRDefault="00CF3535" w:rsidP="00CF3535">
            <w:pPr>
              <w:spacing w:line="276" w:lineRule="auto"/>
              <w:rPr>
                <w:rFonts w:ascii="Verdana" w:hAnsi="Verdana"/>
                <w:bCs/>
                <w:sz w:val="16"/>
                <w:szCs w:val="16"/>
              </w:rPr>
            </w:pPr>
          </w:p>
          <w:p w14:paraId="71CB7BD4" w14:textId="77777777" w:rsidR="00CF3535" w:rsidRPr="00B02749" w:rsidRDefault="00CF3535" w:rsidP="00CF3535">
            <w:pPr>
              <w:spacing w:line="276" w:lineRule="auto"/>
              <w:rPr>
                <w:rFonts w:ascii="Verdana" w:hAnsi="Verdana"/>
                <w:b/>
                <w:sz w:val="16"/>
                <w:szCs w:val="16"/>
              </w:rPr>
            </w:pPr>
          </w:p>
          <w:p w14:paraId="265A5B32"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372C061E" w14:textId="77777777" w:rsidR="00CF3535" w:rsidRPr="00655F56" w:rsidRDefault="00CF3535" w:rsidP="006B5967">
            <w:pPr>
              <w:rPr>
                <w:rFonts w:ascii="Verdana" w:hAnsi="Verdana"/>
                <w:sz w:val="16"/>
                <w:szCs w:val="16"/>
              </w:rPr>
            </w:pPr>
          </w:p>
        </w:tc>
      </w:tr>
      <w:tr w:rsidR="008578D4" w:rsidRPr="00261DC9" w14:paraId="1C939575" w14:textId="77777777" w:rsidTr="00CF3535">
        <w:trPr>
          <w:trHeight w:val="513"/>
        </w:trPr>
        <w:tc>
          <w:tcPr>
            <w:tcW w:w="7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6A6A6" w:themeFill="background1" w:themeFillShade="A6"/>
          </w:tcPr>
          <w:p w14:paraId="4C5FF68B" w14:textId="77777777" w:rsidR="008578D4" w:rsidRPr="00261DC9" w:rsidRDefault="008578D4" w:rsidP="006B5967">
            <w:pPr>
              <w:rPr>
                <w:rFonts w:ascii="Verdana" w:hAnsi="Verdana"/>
                <w:b/>
                <w:sz w:val="16"/>
                <w:szCs w:val="16"/>
              </w:rPr>
            </w:pPr>
          </w:p>
          <w:p w14:paraId="18820EE3" w14:textId="77777777" w:rsidR="008578D4" w:rsidRPr="00261DC9" w:rsidRDefault="008578D4" w:rsidP="006B5967">
            <w:pPr>
              <w:rPr>
                <w:rFonts w:ascii="Verdana" w:hAnsi="Verdana"/>
                <w:b/>
                <w:sz w:val="16"/>
                <w:szCs w:val="16"/>
              </w:rPr>
            </w:pPr>
            <w:r w:rsidRPr="00261DC9">
              <w:rPr>
                <w:rFonts w:ascii="Verdana" w:hAnsi="Verdana"/>
                <w:b/>
                <w:sz w:val="16"/>
                <w:szCs w:val="16"/>
              </w:rPr>
              <w:t>2.</w:t>
            </w:r>
          </w:p>
        </w:tc>
        <w:tc>
          <w:tcPr>
            <w:tcW w:w="1468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6A6A6" w:themeFill="background1" w:themeFillShade="A6"/>
          </w:tcPr>
          <w:p w14:paraId="4C51E04F" w14:textId="77777777" w:rsidR="00CF3535" w:rsidRDefault="00CF3535" w:rsidP="006B5967">
            <w:pPr>
              <w:rPr>
                <w:rFonts w:ascii="Verdana" w:hAnsi="Verdana"/>
                <w:b/>
                <w:sz w:val="16"/>
                <w:szCs w:val="16"/>
              </w:rPr>
            </w:pPr>
          </w:p>
          <w:p w14:paraId="5A458AA0" w14:textId="1C85992C" w:rsidR="008578D4" w:rsidRDefault="00CF3535" w:rsidP="006B5967">
            <w:pPr>
              <w:rPr>
                <w:rFonts w:ascii="Verdana" w:hAnsi="Verdana"/>
                <w:b/>
                <w:sz w:val="16"/>
                <w:szCs w:val="16"/>
              </w:rPr>
            </w:pPr>
            <w:r>
              <w:rPr>
                <w:rFonts w:ascii="Verdana" w:hAnsi="Verdana"/>
                <w:b/>
                <w:sz w:val="16"/>
                <w:szCs w:val="16"/>
              </w:rPr>
              <w:t xml:space="preserve">Specific expectations </w:t>
            </w:r>
          </w:p>
          <w:p w14:paraId="0D5F502D" w14:textId="420BD05E" w:rsidR="00CF3535" w:rsidRPr="00261DC9" w:rsidRDefault="00CF3535" w:rsidP="006B5967">
            <w:pPr>
              <w:rPr>
                <w:rFonts w:ascii="Verdana" w:hAnsi="Verdana"/>
                <w:b/>
                <w:sz w:val="16"/>
                <w:szCs w:val="16"/>
              </w:rPr>
            </w:pPr>
          </w:p>
        </w:tc>
      </w:tr>
      <w:tr w:rsidR="00CF3535" w:rsidRPr="00261DC9" w14:paraId="132C0873" w14:textId="77777777" w:rsidTr="008B6AAF">
        <w:trPr>
          <w:trHeight w:val="1625"/>
        </w:trPr>
        <w:tc>
          <w:tcPr>
            <w:tcW w:w="7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64D96B70" w14:textId="77777777" w:rsidR="00CF3535" w:rsidRPr="00261DC9" w:rsidRDefault="00CF3535" w:rsidP="006B5967">
            <w:pPr>
              <w:rPr>
                <w:rFonts w:ascii="Verdana" w:hAnsi="Verdana"/>
                <w:sz w:val="16"/>
                <w:szCs w:val="16"/>
              </w:rPr>
            </w:pPr>
            <w:r w:rsidRPr="00261DC9">
              <w:rPr>
                <w:rFonts w:ascii="Verdana" w:hAnsi="Verdana"/>
                <w:sz w:val="16"/>
                <w:szCs w:val="16"/>
              </w:rPr>
              <w:t>2.1</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03FBA1E6" w14:textId="77777777" w:rsidR="00CF3535" w:rsidRPr="00261DC9" w:rsidRDefault="00CF3535" w:rsidP="006B5967">
            <w:pPr>
              <w:rPr>
                <w:rFonts w:ascii="Verdana" w:hAnsi="Verdana"/>
                <w:sz w:val="16"/>
                <w:szCs w:val="16"/>
              </w:rPr>
            </w:pPr>
            <w:r w:rsidRPr="004F10EB">
              <w:rPr>
                <w:rFonts w:ascii="Verdana" w:hAnsi="Verdana"/>
                <w:sz w:val="16"/>
                <w:szCs w:val="16"/>
              </w:rPr>
              <w:t>This Rent Standard applies, subject to the exceptions in 2.2-2.5 below, to ‘</w:t>
            </w:r>
            <w:proofErr w:type="gramStart"/>
            <w:r w:rsidRPr="004F10EB">
              <w:rPr>
                <w:rFonts w:ascii="Verdana" w:hAnsi="Verdana"/>
                <w:sz w:val="16"/>
                <w:szCs w:val="16"/>
              </w:rPr>
              <w:t>low cost</w:t>
            </w:r>
            <w:proofErr w:type="gramEnd"/>
            <w:r w:rsidRPr="004F10EB">
              <w:rPr>
                <w:rFonts w:ascii="Verdana" w:hAnsi="Verdana"/>
                <w:sz w:val="16"/>
                <w:szCs w:val="16"/>
              </w:rPr>
              <w:t xml:space="preserve"> rental’ accommodation, as defined by section 69 of the Housing and Regeneration Act 2008. All other terms used in this Rent Standard are defined within the ‘Policy Statement on rents for social housing’</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4D25FEB"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5B669A7" w14:textId="77777777" w:rsidR="00CF3535" w:rsidRPr="00B02749" w:rsidRDefault="00CF3535" w:rsidP="00CF3535">
            <w:pPr>
              <w:rPr>
                <w:rFonts w:ascii="Verdana" w:hAnsi="Verdana"/>
                <w:sz w:val="16"/>
                <w:szCs w:val="16"/>
              </w:rPr>
            </w:pPr>
          </w:p>
          <w:p w14:paraId="11FFF6C0" w14:textId="77777777" w:rsidR="00CF3535" w:rsidRPr="00B02749" w:rsidRDefault="00CF3535" w:rsidP="00CF3535">
            <w:pPr>
              <w:rPr>
                <w:rFonts w:ascii="Verdana" w:hAnsi="Verdana"/>
                <w:sz w:val="16"/>
                <w:szCs w:val="16"/>
              </w:rPr>
            </w:pPr>
          </w:p>
          <w:p w14:paraId="23A9D761"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5B85D7C" w14:textId="77777777" w:rsidR="00CF3535" w:rsidRPr="00B02749" w:rsidRDefault="00CF3535" w:rsidP="00CF3535">
            <w:pPr>
              <w:pStyle w:val="ListParagraph"/>
              <w:numPr>
                <w:ilvl w:val="0"/>
                <w:numId w:val="2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4CE72F32" w14:textId="77777777" w:rsidR="00CF3535" w:rsidRPr="00B02749" w:rsidRDefault="00CF3535" w:rsidP="00CF3535">
            <w:pPr>
              <w:pStyle w:val="ListParagraph"/>
              <w:numPr>
                <w:ilvl w:val="0"/>
                <w:numId w:val="2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5C0A6023" w14:textId="77777777" w:rsidR="00CF3535" w:rsidRPr="00B02749" w:rsidRDefault="00CF3535" w:rsidP="00CF3535">
            <w:pPr>
              <w:pStyle w:val="ListParagraph"/>
              <w:numPr>
                <w:ilvl w:val="0"/>
                <w:numId w:val="2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151709CA" w14:textId="77777777" w:rsidR="00CF3535" w:rsidRPr="00B02749" w:rsidRDefault="00CF3535" w:rsidP="00CF3535">
            <w:pPr>
              <w:spacing w:line="276" w:lineRule="auto"/>
              <w:rPr>
                <w:rFonts w:ascii="Verdana" w:hAnsi="Verdana"/>
                <w:bCs/>
                <w:sz w:val="16"/>
                <w:szCs w:val="16"/>
              </w:rPr>
            </w:pPr>
          </w:p>
          <w:p w14:paraId="2FDF5384" w14:textId="77777777" w:rsidR="00CF3535" w:rsidRPr="00B02749" w:rsidRDefault="00CF3535" w:rsidP="00CF3535">
            <w:pPr>
              <w:spacing w:line="276" w:lineRule="auto"/>
              <w:rPr>
                <w:rFonts w:ascii="Verdana" w:hAnsi="Verdana"/>
                <w:b/>
                <w:sz w:val="16"/>
                <w:szCs w:val="16"/>
              </w:rPr>
            </w:pPr>
          </w:p>
          <w:p w14:paraId="2593AD38"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5BA63AD6" w14:textId="28A3A12E" w:rsidR="00CF3535" w:rsidRPr="00261DC9" w:rsidRDefault="00CF3535" w:rsidP="006B5967">
            <w:pPr>
              <w:rPr>
                <w:rFonts w:ascii="Verdana" w:hAnsi="Verdana"/>
                <w:sz w:val="16"/>
                <w:szCs w:val="16"/>
              </w:rPr>
            </w:pPr>
          </w:p>
        </w:tc>
      </w:tr>
      <w:tr w:rsidR="00CF3535" w:rsidRPr="004F10EB" w14:paraId="655C37CC" w14:textId="77777777" w:rsidTr="004C1E58">
        <w:trPr>
          <w:trHeight w:val="349"/>
        </w:trPr>
        <w:tc>
          <w:tcPr>
            <w:tcW w:w="7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1B4CDC0D" w14:textId="77777777" w:rsidR="00CF3535" w:rsidRPr="004F10EB" w:rsidRDefault="00CF3535" w:rsidP="006B5967">
            <w:pPr>
              <w:rPr>
                <w:rFonts w:ascii="Verdana" w:hAnsi="Verdana"/>
                <w:sz w:val="16"/>
                <w:szCs w:val="16"/>
              </w:rPr>
            </w:pPr>
            <w:r w:rsidRPr="004F10EB">
              <w:rPr>
                <w:rFonts w:ascii="Verdana" w:hAnsi="Verdana"/>
                <w:sz w:val="16"/>
                <w:szCs w:val="16"/>
              </w:rPr>
              <w:t>2.2</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6EA2A201" w14:textId="77777777" w:rsidR="00CF3535" w:rsidRPr="004F10EB" w:rsidRDefault="00CF3535" w:rsidP="006B5967">
            <w:pPr>
              <w:rPr>
                <w:rFonts w:ascii="Verdana" w:eastAsia="Times New Roman" w:hAnsi="Verdana" w:cs="Arial"/>
                <w:sz w:val="16"/>
                <w:szCs w:val="16"/>
                <w:lang w:val="en-US"/>
              </w:rPr>
            </w:pPr>
            <w:r w:rsidRPr="004F10EB">
              <w:rPr>
                <w:rFonts w:ascii="Verdana" w:eastAsia="Times New Roman" w:hAnsi="Verdana" w:cs="Arial"/>
                <w:sz w:val="16"/>
                <w:szCs w:val="16"/>
                <w:lang w:val="en-US"/>
              </w:rPr>
              <w:t xml:space="preserve">This Rent Standard does not apply to the following categories of property, as defined in Chapter 5 of the Rent Policy Statement: </w:t>
            </w:r>
          </w:p>
          <w:p w14:paraId="702E04E9" w14:textId="77777777" w:rsidR="00CF3535" w:rsidRDefault="00CF3535" w:rsidP="006B5967">
            <w:pPr>
              <w:rPr>
                <w:rFonts w:ascii="Verdana" w:eastAsia="Times New Roman" w:hAnsi="Verdana" w:cs="Arial"/>
                <w:sz w:val="16"/>
                <w:szCs w:val="16"/>
                <w:lang w:val="en-US"/>
              </w:rPr>
            </w:pPr>
            <w:r w:rsidRPr="004F10EB">
              <w:rPr>
                <w:rFonts w:ascii="Verdana" w:eastAsia="Times New Roman" w:hAnsi="Verdana" w:cs="Arial"/>
                <w:sz w:val="16"/>
                <w:szCs w:val="16"/>
                <w:lang w:val="en-US"/>
              </w:rPr>
              <w:t xml:space="preserve">• Shared ownership </w:t>
            </w:r>
            <w:proofErr w:type="gramStart"/>
            <w:r w:rsidRPr="004F10EB">
              <w:rPr>
                <w:rFonts w:ascii="Verdana" w:eastAsia="Times New Roman" w:hAnsi="Verdana" w:cs="Arial"/>
                <w:sz w:val="16"/>
                <w:szCs w:val="16"/>
                <w:lang w:val="en-US"/>
              </w:rPr>
              <w:t>low cost</w:t>
            </w:r>
            <w:proofErr w:type="gramEnd"/>
            <w:r w:rsidRPr="004F10EB">
              <w:rPr>
                <w:rFonts w:ascii="Verdana" w:eastAsia="Times New Roman" w:hAnsi="Verdana" w:cs="Arial"/>
                <w:sz w:val="16"/>
                <w:szCs w:val="16"/>
                <w:lang w:val="en-US"/>
              </w:rPr>
              <w:t xml:space="preserve"> rental accommodation </w:t>
            </w:r>
          </w:p>
          <w:p w14:paraId="307F44EC" w14:textId="77777777" w:rsidR="00CF3535" w:rsidRDefault="00CF3535" w:rsidP="006B5967">
            <w:pPr>
              <w:rPr>
                <w:rFonts w:ascii="Verdana" w:eastAsia="Times New Roman" w:hAnsi="Verdana" w:cs="Arial"/>
                <w:sz w:val="16"/>
                <w:szCs w:val="16"/>
                <w:lang w:val="en-US"/>
              </w:rPr>
            </w:pPr>
            <w:r w:rsidRPr="004F10EB">
              <w:rPr>
                <w:rFonts w:ascii="Verdana" w:eastAsia="Times New Roman" w:hAnsi="Verdana" w:cs="Arial"/>
                <w:sz w:val="16"/>
                <w:szCs w:val="16"/>
                <w:lang w:val="en-US"/>
              </w:rPr>
              <w:t xml:space="preserve">• Intermediate rent accommodation </w:t>
            </w:r>
          </w:p>
          <w:p w14:paraId="1D83E954" w14:textId="77777777" w:rsidR="00CF3535" w:rsidRDefault="00CF3535" w:rsidP="006B5967">
            <w:pPr>
              <w:rPr>
                <w:rFonts w:ascii="Verdana" w:eastAsia="Times New Roman" w:hAnsi="Verdana" w:cs="Arial"/>
                <w:sz w:val="16"/>
                <w:szCs w:val="16"/>
                <w:lang w:val="en-US"/>
              </w:rPr>
            </w:pPr>
            <w:r w:rsidRPr="004F10EB">
              <w:rPr>
                <w:rFonts w:ascii="Verdana" w:eastAsia="Times New Roman" w:hAnsi="Verdana" w:cs="Arial"/>
                <w:sz w:val="16"/>
                <w:szCs w:val="16"/>
                <w:lang w:val="en-US"/>
              </w:rPr>
              <w:t xml:space="preserve">• Specialised supported housing </w:t>
            </w:r>
          </w:p>
          <w:p w14:paraId="689AFBF4" w14:textId="77777777" w:rsidR="00CF3535" w:rsidRDefault="00CF3535" w:rsidP="006B5967">
            <w:pPr>
              <w:rPr>
                <w:rFonts w:ascii="Verdana" w:eastAsia="Times New Roman" w:hAnsi="Verdana" w:cs="Arial"/>
                <w:sz w:val="16"/>
                <w:szCs w:val="16"/>
                <w:lang w:val="en-US"/>
              </w:rPr>
            </w:pPr>
            <w:r w:rsidRPr="004F10EB">
              <w:rPr>
                <w:rFonts w:ascii="Verdana" w:eastAsia="Times New Roman" w:hAnsi="Verdana" w:cs="Arial"/>
                <w:sz w:val="16"/>
                <w:szCs w:val="16"/>
                <w:lang w:val="en-US"/>
              </w:rPr>
              <w:t xml:space="preserve">• Relevant local authority accommodation </w:t>
            </w:r>
          </w:p>
          <w:p w14:paraId="1CC0A193" w14:textId="77777777" w:rsidR="00CF3535" w:rsidRDefault="00CF3535" w:rsidP="006B5967">
            <w:pPr>
              <w:rPr>
                <w:rFonts w:ascii="Verdana" w:eastAsia="Times New Roman" w:hAnsi="Verdana" w:cs="Arial"/>
                <w:sz w:val="16"/>
                <w:szCs w:val="16"/>
                <w:lang w:val="en-US"/>
              </w:rPr>
            </w:pPr>
            <w:r w:rsidRPr="004F10EB">
              <w:rPr>
                <w:rFonts w:ascii="Verdana" w:eastAsia="Times New Roman" w:hAnsi="Verdana" w:cs="Arial"/>
                <w:sz w:val="16"/>
                <w:szCs w:val="16"/>
                <w:lang w:val="en-US"/>
              </w:rPr>
              <w:t xml:space="preserve">• Student accommodation </w:t>
            </w:r>
          </w:p>
          <w:p w14:paraId="25034764" w14:textId="77777777" w:rsidR="00CF3535" w:rsidRDefault="00CF3535" w:rsidP="006B5967">
            <w:pPr>
              <w:rPr>
                <w:rFonts w:ascii="Verdana" w:eastAsia="Times New Roman" w:hAnsi="Verdana" w:cs="Arial"/>
                <w:sz w:val="16"/>
                <w:szCs w:val="16"/>
                <w:lang w:val="en-US"/>
              </w:rPr>
            </w:pPr>
            <w:r w:rsidRPr="004F10EB">
              <w:rPr>
                <w:rFonts w:ascii="Verdana" w:eastAsia="Times New Roman" w:hAnsi="Verdana" w:cs="Arial"/>
                <w:sz w:val="16"/>
                <w:szCs w:val="16"/>
                <w:lang w:val="en-US"/>
              </w:rPr>
              <w:t xml:space="preserve">• PFI social housing </w:t>
            </w:r>
          </w:p>
          <w:p w14:paraId="09D689A5" w14:textId="77777777" w:rsidR="00CF3535" w:rsidRDefault="00CF3535" w:rsidP="006B5967">
            <w:pPr>
              <w:rPr>
                <w:rFonts w:ascii="Verdana" w:eastAsia="Times New Roman" w:hAnsi="Verdana" w:cs="Arial"/>
                <w:sz w:val="16"/>
                <w:szCs w:val="16"/>
                <w:lang w:val="en-US"/>
              </w:rPr>
            </w:pPr>
            <w:r w:rsidRPr="004F10EB">
              <w:rPr>
                <w:rFonts w:ascii="Verdana" w:eastAsia="Times New Roman" w:hAnsi="Verdana" w:cs="Arial"/>
                <w:sz w:val="16"/>
                <w:szCs w:val="16"/>
                <w:lang w:val="en-US"/>
              </w:rPr>
              <w:t xml:space="preserve">• Temporary social housing </w:t>
            </w:r>
          </w:p>
          <w:p w14:paraId="066B28E8" w14:textId="77777777" w:rsidR="00CF3535" w:rsidRPr="004F10EB" w:rsidRDefault="00CF3535" w:rsidP="006B5967">
            <w:pPr>
              <w:rPr>
                <w:rFonts w:ascii="Verdana" w:eastAsia="Times New Roman" w:hAnsi="Verdana" w:cs="Arial"/>
                <w:sz w:val="16"/>
                <w:szCs w:val="16"/>
                <w:lang w:val="en-US"/>
              </w:rPr>
            </w:pPr>
            <w:r w:rsidRPr="004F10EB">
              <w:rPr>
                <w:rFonts w:ascii="Verdana" w:eastAsia="Times New Roman" w:hAnsi="Verdana" w:cs="Arial"/>
                <w:sz w:val="16"/>
                <w:szCs w:val="16"/>
                <w:lang w:val="en-US"/>
              </w:rPr>
              <w:t>• Care homes.</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202EE96"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5879A28" w14:textId="77777777" w:rsidR="00CF3535" w:rsidRPr="00B02749" w:rsidRDefault="00CF3535" w:rsidP="00CF3535">
            <w:pPr>
              <w:rPr>
                <w:rFonts w:ascii="Verdana" w:hAnsi="Verdana"/>
                <w:sz w:val="16"/>
                <w:szCs w:val="16"/>
              </w:rPr>
            </w:pPr>
          </w:p>
          <w:p w14:paraId="0E31A3B6" w14:textId="77777777" w:rsidR="00CF3535" w:rsidRPr="00B02749" w:rsidRDefault="00CF3535" w:rsidP="00CF3535">
            <w:pPr>
              <w:rPr>
                <w:rFonts w:ascii="Verdana" w:hAnsi="Verdana"/>
                <w:sz w:val="16"/>
                <w:szCs w:val="16"/>
              </w:rPr>
            </w:pPr>
          </w:p>
          <w:p w14:paraId="216232EB"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F4824E2" w14:textId="77777777" w:rsidR="00CF3535" w:rsidRPr="00B02749" w:rsidRDefault="00CF3535" w:rsidP="00CF3535">
            <w:pPr>
              <w:pStyle w:val="ListParagraph"/>
              <w:numPr>
                <w:ilvl w:val="0"/>
                <w:numId w:val="2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DBBBED5" w14:textId="77777777" w:rsidR="00CF3535" w:rsidRPr="00B02749" w:rsidRDefault="00CF3535" w:rsidP="00CF3535">
            <w:pPr>
              <w:pStyle w:val="ListParagraph"/>
              <w:numPr>
                <w:ilvl w:val="0"/>
                <w:numId w:val="2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4694A4DB" w14:textId="77777777" w:rsidR="00CF3535" w:rsidRPr="00B02749" w:rsidRDefault="00CF3535" w:rsidP="00CF3535">
            <w:pPr>
              <w:pStyle w:val="ListParagraph"/>
              <w:numPr>
                <w:ilvl w:val="0"/>
                <w:numId w:val="2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4F85373B" w14:textId="77777777" w:rsidR="00CF3535" w:rsidRPr="00B02749" w:rsidRDefault="00CF3535" w:rsidP="00CF3535">
            <w:pPr>
              <w:spacing w:line="276" w:lineRule="auto"/>
              <w:rPr>
                <w:rFonts w:ascii="Verdana" w:hAnsi="Verdana"/>
                <w:bCs/>
                <w:sz w:val="16"/>
                <w:szCs w:val="16"/>
              </w:rPr>
            </w:pPr>
          </w:p>
          <w:p w14:paraId="44A4ABD3" w14:textId="77777777" w:rsidR="00CF3535" w:rsidRPr="00B02749" w:rsidRDefault="00CF3535" w:rsidP="00CF3535">
            <w:pPr>
              <w:spacing w:line="276" w:lineRule="auto"/>
              <w:rPr>
                <w:rFonts w:ascii="Verdana" w:hAnsi="Verdana"/>
                <w:b/>
                <w:sz w:val="16"/>
                <w:szCs w:val="16"/>
              </w:rPr>
            </w:pPr>
          </w:p>
          <w:p w14:paraId="7C608BE0"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3E29D1A3" w14:textId="77777777" w:rsidR="00CF3535" w:rsidRPr="00941DB1" w:rsidRDefault="00CF3535" w:rsidP="006B5967">
            <w:pPr>
              <w:rPr>
                <w:rFonts w:ascii="Verdana" w:eastAsia="Times New Roman" w:hAnsi="Verdana" w:cs="Arial"/>
                <w:sz w:val="16"/>
                <w:lang w:val="en-US"/>
              </w:rPr>
            </w:pPr>
          </w:p>
        </w:tc>
      </w:tr>
      <w:tr w:rsidR="00CF3535" w:rsidRPr="00261DC9" w14:paraId="2A0DBC9C" w14:textId="77777777" w:rsidTr="006415B0">
        <w:trPr>
          <w:trHeight w:val="349"/>
        </w:trPr>
        <w:tc>
          <w:tcPr>
            <w:tcW w:w="7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1DD5884B" w14:textId="77777777" w:rsidR="00CF3535" w:rsidRPr="00261DC9" w:rsidRDefault="00CF3535" w:rsidP="006B5967">
            <w:pPr>
              <w:rPr>
                <w:rFonts w:ascii="Verdana" w:hAnsi="Verdana"/>
                <w:sz w:val="16"/>
                <w:szCs w:val="16"/>
              </w:rPr>
            </w:pPr>
            <w:r>
              <w:rPr>
                <w:rFonts w:ascii="Verdana" w:hAnsi="Verdana"/>
                <w:sz w:val="16"/>
                <w:szCs w:val="16"/>
              </w:rPr>
              <w:t>2.3</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23DA7067" w14:textId="77777777" w:rsidR="00CF3535" w:rsidRPr="00261DC9" w:rsidRDefault="00CF3535" w:rsidP="006B5967">
            <w:pPr>
              <w:rPr>
                <w:rFonts w:ascii="Verdana" w:eastAsia="Times New Roman" w:hAnsi="Verdana" w:cs="Arial"/>
                <w:sz w:val="16"/>
                <w:szCs w:val="16"/>
                <w:lang w:val="en-US"/>
              </w:rPr>
            </w:pPr>
            <w:r w:rsidRPr="004F10EB">
              <w:rPr>
                <w:rFonts w:ascii="Verdana" w:eastAsia="Times New Roman" w:hAnsi="Verdana" w:cs="Arial"/>
                <w:sz w:val="16"/>
                <w:szCs w:val="16"/>
                <w:lang w:val="en-US"/>
              </w:rPr>
              <w:t xml:space="preserve">This Rent Standard does not apply to property let to a high-income social tenant, for the </w:t>
            </w:r>
            <w:proofErr w:type="gramStart"/>
            <w:r w:rsidRPr="004F10EB">
              <w:rPr>
                <w:rFonts w:ascii="Verdana" w:eastAsia="Times New Roman" w:hAnsi="Verdana" w:cs="Arial"/>
                <w:sz w:val="16"/>
                <w:szCs w:val="16"/>
                <w:lang w:val="en-US"/>
              </w:rPr>
              <w:t>period of time</w:t>
            </w:r>
            <w:proofErr w:type="gramEnd"/>
            <w:r w:rsidRPr="004F10EB">
              <w:rPr>
                <w:rFonts w:ascii="Verdana" w:eastAsia="Times New Roman" w:hAnsi="Verdana" w:cs="Arial"/>
                <w:sz w:val="16"/>
                <w:szCs w:val="16"/>
                <w:lang w:val="en-US"/>
              </w:rPr>
              <w:t xml:space="preserve"> where that property is let to that tenant. Where a tenancy of a </w:t>
            </w:r>
            <w:proofErr w:type="gramStart"/>
            <w:r w:rsidRPr="004F10EB">
              <w:rPr>
                <w:rFonts w:ascii="Verdana" w:eastAsia="Times New Roman" w:hAnsi="Verdana" w:cs="Arial"/>
                <w:sz w:val="16"/>
                <w:szCs w:val="16"/>
                <w:lang w:val="en-US"/>
              </w:rPr>
              <w:t>high</w:t>
            </w:r>
            <w:r>
              <w:rPr>
                <w:rFonts w:ascii="Verdana" w:eastAsia="Times New Roman" w:hAnsi="Verdana" w:cs="Arial"/>
                <w:sz w:val="16"/>
                <w:szCs w:val="16"/>
                <w:lang w:val="en-US"/>
              </w:rPr>
              <w:t xml:space="preserve"> </w:t>
            </w:r>
            <w:r w:rsidRPr="004F10EB">
              <w:rPr>
                <w:rFonts w:ascii="Verdana" w:eastAsia="Times New Roman" w:hAnsi="Verdana" w:cs="Arial"/>
                <w:sz w:val="16"/>
                <w:szCs w:val="16"/>
                <w:lang w:val="en-US"/>
              </w:rPr>
              <w:t>income</w:t>
            </w:r>
            <w:proofErr w:type="gramEnd"/>
            <w:r w:rsidRPr="004F10EB">
              <w:rPr>
                <w:rFonts w:ascii="Verdana" w:eastAsia="Times New Roman" w:hAnsi="Verdana" w:cs="Arial"/>
                <w:sz w:val="16"/>
                <w:szCs w:val="16"/>
                <w:lang w:val="en-US"/>
              </w:rPr>
              <w:t xml:space="preserve"> social tenant ends, or where the tenant no longer fits </w:t>
            </w:r>
            <w:r w:rsidRPr="004F10EB">
              <w:rPr>
                <w:rFonts w:ascii="Verdana" w:eastAsia="Times New Roman" w:hAnsi="Verdana" w:cs="Arial"/>
                <w:sz w:val="16"/>
                <w:szCs w:val="16"/>
                <w:lang w:val="en-US"/>
              </w:rPr>
              <w:lastRenderedPageBreak/>
              <w:t>the definition of “high income social tenant” as set out in the Rent Policy Statement, this Rent Standard then applies to that tenancy, and/or to future lettings of that property.</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3C06F41"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lastRenderedPageBreak/>
              <w:t xml:space="preserve">Paragraphs of how the organisations comply with the requirements) </w:t>
            </w:r>
          </w:p>
          <w:p w14:paraId="7878EE45" w14:textId="77777777" w:rsidR="00CF3535" w:rsidRPr="00B02749" w:rsidRDefault="00CF3535" w:rsidP="00CF3535">
            <w:pPr>
              <w:rPr>
                <w:rFonts w:ascii="Verdana" w:hAnsi="Verdana"/>
                <w:sz w:val="16"/>
                <w:szCs w:val="16"/>
              </w:rPr>
            </w:pPr>
          </w:p>
          <w:p w14:paraId="5259CF37" w14:textId="77777777" w:rsidR="00CF3535" w:rsidRPr="00B02749" w:rsidRDefault="00CF3535" w:rsidP="00CF3535">
            <w:pPr>
              <w:rPr>
                <w:rFonts w:ascii="Verdana" w:hAnsi="Verdana"/>
                <w:sz w:val="16"/>
                <w:szCs w:val="16"/>
              </w:rPr>
            </w:pPr>
          </w:p>
          <w:p w14:paraId="5A6F5E73"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lastRenderedPageBreak/>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7D874A13" w14:textId="77777777" w:rsidR="00CF3535" w:rsidRPr="00B02749" w:rsidRDefault="00CF3535" w:rsidP="00CF3535">
            <w:pPr>
              <w:pStyle w:val="ListParagraph"/>
              <w:numPr>
                <w:ilvl w:val="0"/>
                <w:numId w:val="3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4A31B51C" w14:textId="77777777" w:rsidR="00CF3535" w:rsidRPr="00B02749" w:rsidRDefault="00CF3535" w:rsidP="00CF3535">
            <w:pPr>
              <w:pStyle w:val="ListParagraph"/>
              <w:numPr>
                <w:ilvl w:val="0"/>
                <w:numId w:val="3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6FFDD6E6" w14:textId="77777777" w:rsidR="00CF3535" w:rsidRPr="00B02749" w:rsidRDefault="00CF3535" w:rsidP="00CF3535">
            <w:pPr>
              <w:pStyle w:val="ListParagraph"/>
              <w:numPr>
                <w:ilvl w:val="0"/>
                <w:numId w:val="3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782A2CB0" w14:textId="77777777" w:rsidR="00CF3535" w:rsidRPr="00B02749" w:rsidRDefault="00CF3535" w:rsidP="00CF3535">
            <w:pPr>
              <w:spacing w:line="276" w:lineRule="auto"/>
              <w:rPr>
                <w:rFonts w:ascii="Verdana" w:hAnsi="Verdana"/>
                <w:bCs/>
                <w:sz w:val="16"/>
                <w:szCs w:val="16"/>
              </w:rPr>
            </w:pPr>
          </w:p>
          <w:p w14:paraId="050154F3" w14:textId="77777777" w:rsidR="00CF3535" w:rsidRPr="00B02749" w:rsidRDefault="00CF3535" w:rsidP="00CF3535">
            <w:pPr>
              <w:spacing w:line="276" w:lineRule="auto"/>
              <w:rPr>
                <w:rFonts w:ascii="Verdana" w:hAnsi="Verdana"/>
                <w:b/>
                <w:sz w:val="16"/>
                <w:szCs w:val="16"/>
              </w:rPr>
            </w:pPr>
          </w:p>
          <w:p w14:paraId="1F24AF3E"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0A81A118" w14:textId="64646F92" w:rsidR="00CF3535" w:rsidRPr="00F01754" w:rsidRDefault="00CF3535" w:rsidP="006B5967">
            <w:pPr>
              <w:rPr>
                <w:rFonts w:ascii="Verdana" w:hAnsi="Verdana"/>
                <w:sz w:val="16"/>
              </w:rPr>
            </w:pPr>
          </w:p>
        </w:tc>
      </w:tr>
      <w:tr w:rsidR="00CF3535" w:rsidRPr="00261DC9" w14:paraId="348E0613" w14:textId="77777777" w:rsidTr="006A49B2">
        <w:trPr>
          <w:trHeight w:val="645"/>
        </w:trPr>
        <w:tc>
          <w:tcPr>
            <w:tcW w:w="7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6C096A8F" w14:textId="77777777" w:rsidR="00CF3535" w:rsidRPr="00261DC9" w:rsidRDefault="00CF3535" w:rsidP="006B5967">
            <w:pPr>
              <w:rPr>
                <w:rFonts w:ascii="Verdana" w:hAnsi="Verdana"/>
                <w:sz w:val="16"/>
                <w:szCs w:val="16"/>
              </w:rPr>
            </w:pPr>
            <w:r>
              <w:rPr>
                <w:rFonts w:ascii="Verdana" w:hAnsi="Verdana"/>
                <w:sz w:val="16"/>
                <w:szCs w:val="16"/>
              </w:rPr>
              <w:lastRenderedPageBreak/>
              <w:t>2.4</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4049F180" w14:textId="77777777" w:rsidR="00CF3535" w:rsidRPr="00261DC9" w:rsidRDefault="00CF3535" w:rsidP="006B5967">
            <w:pPr>
              <w:autoSpaceDE w:val="0"/>
              <w:autoSpaceDN w:val="0"/>
              <w:adjustRightInd w:val="0"/>
              <w:rPr>
                <w:rFonts w:ascii="Verdana" w:hAnsi="Verdana" w:cs="Helvetica"/>
                <w:sz w:val="16"/>
                <w:szCs w:val="16"/>
              </w:rPr>
            </w:pPr>
            <w:r w:rsidRPr="004F10EB">
              <w:rPr>
                <w:rFonts w:ascii="Verdana" w:hAnsi="Verdana" w:cs="Helvetica"/>
                <w:sz w:val="16"/>
                <w:szCs w:val="16"/>
              </w:rPr>
              <w:t xml:space="preserve">Where the application of this Rent Standard would jeopardise the financial viability of a private registered provider, the Regulator may agree, on request from that provider, an exemption to specific requirements of the Rent Standard for </w:t>
            </w:r>
            <w:proofErr w:type="gramStart"/>
            <w:r w:rsidRPr="004F10EB">
              <w:rPr>
                <w:rFonts w:ascii="Verdana" w:hAnsi="Verdana" w:cs="Helvetica"/>
                <w:sz w:val="16"/>
                <w:szCs w:val="16"/>
              </w:rPr>
              <w:t>a period of time</w:t>
            </w:r>
            <w:proofErr w:type="gramEnd"/>
            <w:r w:rsidRPr="004F10EB">
              <w:rPr>
                <w:rFonts w:ascii="Verdana" w:hAnsi="Verdana" w:cs="Helvetica"/>
                <w:sz w:val="16"/>
                <w:szCs w:val="16"/>
              </w:rPr>
              <w:t>.</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09422F"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0D3CE9DB" w14:textId="77777777" w:rsidR="00CF3535" w:rsidRPr="00B02749" w:rsidRDefault="00CF3535" w:rsidP="00CF3535">
            <w:pPr>
              <w:rPr>
                <w:rFonts w:ascii="Verdana" w:hAnsi="Verdana"/>
                <w:sz w:val="16"/>
                <w:szCs w:val="16"/>
              </w:rPr>
            </w:pPr>
          </w:p>
          <w:p w14:paraId="74E435CC" w14:textId="77777777" w:rsidR="00CF3535" w:rsidRPr="00B02749" w:rsidRDefault="00CF3535" w:rsidP="00CF3535">
            <w:pPr>
              <w:rPr>
                <w:rFonts w:ascii="Verdana" w:hAnsi="Verdana"/>
                <w:sz w:val="16"/>
                <w:szCs w:val="16"/>
              </w:rPr>
            </w:pPr>
          </w:p>
          <w:p w14:paraId="71F0B8A2"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3AE823DA" w14:textId="77777777" w:rsidR="00CF3535" w:rsidRPr="00B02749" w:rsidRDefault="00CF3535" w:rsidP="00CF3535">
            <w:pPr>
              <w:pStyle w:val="ListParagraph"/>
              <w:numPr>
                <w:ilvl w:val="0"/>
                <w:numId w:val="3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76B4258E" w14:textId="77777777" w:rsidR="00CF3535" w:rsidRPr="00B02749" w:rsidRDefault="00CF3535" w:rsidP="00CF3535">
            <w:pPr>
              <w:pStyle w:val="ListParagraph"/>
              <w:numPr>
                <w:ilvl w:val="0"/>
                <w:numId w:val="3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78119DBC" w14:textId="77777777" w:rsidR="00CF3535" w:rsidRPr="00B02749" w:rsidRDefault="00CF3535" w:rsidP="00CF3535">
            <w:pPr>
              <w:pStyle w:val="ListParagraph"/>
              <w:numPr>
                <w:ilvl w:val="0"/>
                <w:numId w:val="3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56DD3DE4" w14:textId="77777777" w:rsidR="00CF3535" w:rsidRPr="00B02749" w:rsidRDefault="00CF3535" w:rsidP="00CF3535">
            <w:pPr>
              <w:spacing w:line="276" w:lineRule="auto"/>
              <w:rPr>
                <w:rFonts w:ascii="Verdana" w:hAnsi="Verdana"/>
                <w:bCs/>
                <w:sz w:val="16"/>
                <w:szCs w:val="16"/>
              </w:rPr>
            </w:pPr>
          </w:p>
          <w:p w14:paraId="009C32C4" w14:textId="77777777" w:rsidR="00CF3535" w:rsidRPr="00B02749" w:rsidRDefault="00CF3535" w:rsidP="00CF3535">
            <w:pPr>
              <w:spacing w:line="276" w:lineRule="auto"/>
              <w:rPr>
                <w:rFonts w:ascii="Verdana" w:hAnsi="Verdana"/>
                <w:b/>
                <w:sz w:val="16"/>
                <w:szCs w:val="16"/>
              </w:rPr>
            </w:pPr>
          </w:p>
          <w:p w14:paraId="03544201"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77528A3C" w14:textId="7C191E95" w:rsidR="00CF3535" w:rsidRPr="00261DC9" w:rsidRDefault="00CF3535" w:rsidP="006B5967">
            <w:pPr>
              <w:rPr>
                <w:rFonts w:ascii="Verdana" w:hAnsi="Verdana"/>
                <w:sz w:val="16"/>
                <w:szCs w:val="16"/>
              </w:rPr>
            </w:pPr>
          </w:p>
        </w:tc>
      </w:tr>
      <w:tr w:rsidR="00CF3535" w:rsidRPr="00261DC9" w14:paraId="50D9FEBF" w14:textId="77777777" w:rsidTr="00C4062D">
        <w:trPr>
          <w:trHeight w:val="2040"/>
        </w:trPr>
        <w:tc>
          <w:tcPr>
            <w:tcW w:w="760" w:type="dxa"/>
            <w:tcBorders>
              <w:top w:val="double" w:sz="4" w:space="0" w:color="A6A6A6" w:themeColor="background1" w:themeShade="A6"/>
              <w:left w:val="double" w:sz="4" w:space="0" w:color="A6A6A6" w:themeColor="background1" w:themeShade="A6"/>
              <w:right w:val="double" w:sz="4" w:space="0" w:color="A6A6A6" w:themeColor="background1" w:themeShade="A6"/>
            </w:tcBorders>
            <w:shd w:val="clear" w:color="auto" w:fill="F2F2F2" w:themeFill="background1" w:themeFillShade="F2"/>
          </w:tcPr>
          <w:p w14:paraId="478BDE7E" w14:textId="77777777" w:rsidR="00CF3535" w:rsidRPr="004F10EB" w:rsidRDefault="00CF3535" w:rsidP="006B5967">
            <w:pPr>
              <w:rPr>
                <w:rFonts w:ascii="Verdana" w:hAnsi="Verdana"/>
                <w:color w:val="FF0000"/>
                <w:sz w:val="16"/>
                <w:szCs w:val="16"/>
              </w:rPr>
            </w:pPr>
            <w:r w:rsidRPr="004F10EB">
              <w:rPr>
                <w:rFonts w:ascii="Verdana" w:hAnsi="Verdana"/>
                <w:sz w:val="16"/>
                <w:szCs w:val="16"/>
              </w:rPr>
              <w:t>2.5</w:t>
            </w:r>
          </w:p>
        </w:tc>
        <w:tc>
          <w:tcPr>
            <w:tcW w:w="5321" w:type="dxa"/>
            <w:tcBorders>
              <w:top w:val="double" w:sz="4" w:space="0" w:color="A6A6A6" w:themeColor="background1" w:themeShade="A6"/>
              <w:left w:val="double" w:sz="4" w:space="0" w:color="A6A6A6" w:themeColor="background1" w:themeShade="A6"/>
              <w:right w:val="double" w:sz="4" w:space="0" w:color="A6A6A6" w:themeColor="background1" w:themeShade="A6"/>
            </w:tcBorders>
            <w:shd w:val="clear" w:color="auto" w:fill="F2F2F2" w:themeFill="background1" w:themeFillShade="F2"/>
          </w:tcPr>
          <w:p w14:paraId="5BE36E93" w14:textId="77777777" w:rsidR="00CF3535" w:rsidRPr="004F10EB" w:rsidRDefault="00CF3535" w:rsidP="006B5967">
            <w:pPr>
              <w:autoSpaceDE w:val="0"/>
              <w:autoSpaceDN w:val="0"/>
              <w:adjustRightInd w:val="0"/>
              <w:rPr>
                <w:rFonts w:ascii="Verdana" w:hAnsi="Verdana" w:cs="Helvetica"/>
                <w:color w:val="FF0000"/>
                <w:sz w:val="16"/>
                <w:szCs w:val="16"/>
              </w:rPr>
            </w:pPr>
            <w:r w:rsidRPr="004F10EB">
              <w:rPr>
                <w:rFonts w:ascii="Verdana" w:hAnsi="Verdana" w:cs="Helvetica"/>
                <w:sz w:val="16"/>
                <w:szCs w:val="16"/>
              </w:rPr>
              <w:t>In a situation (such as an insolvency) where there is a mortgagee in possession, or receiver, in place, or where the registered provider’s stock is sold to a non-registered landlord following intervention by the Regulator, neither the mortgagee in possession, nor the receiver, nor the landlord to whom the stock is sold will be bound by this Rent Standard.</w:t>
            </w:r>
          </w:p>
        </w:tc>
        <w:tc>
          <w:tcPr>
            <w:tcW w:w="9365" w:type="dxa"/>
            <w:tcBorders>
              <w:top w:val="double" w:sz="4" w:space="0" w:color="A6A6A6" w:themeColor="background1" w:themeShade="A6"/>
              <w:left w:val="double" w:sz="4" w:space="0" w:color="A6A6A6" w:themeColor="background1" w:themeShade="A6"/>
              <w:right w:val="double" w:sz="4" w:space="0" w:color="A6A6A6" w:themeColor="background1" w:themeShade="A6"/>
            </w:tcBorders>
          </w:tcPr>
          <w:p w14:paraId="59A1B5B0"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2BC412D4" w14:textId="77777777" w:rsidR="00CF3535" w:rsidRPr="00B02749" w:rsidRDefault="00CF3535" w:rsidP="00CF3535">
            <w:pPr>
              <w:rPr>
                <w:rFonts w:ascii="Verdana" w:hAnsi="Verdana"/>
                <w:sz w:val="16"/>
                <w:szCs w:val="16"/>
              </w:rPr>
            </w:pPr>
          </w:p>
          <w:p w14:paraId="1C132C74" w14:textId="77777777" w:rsidR="00CF3535" w:rsidRPr="00B02749" w:rsidRDefault="00CF3535" w:rsidP="00CF3535">
            <w:pPr>
              <w:rPr>
                <w:rFonts w:ascii="Verdana" w:hAnsi="Verdana"/>
                <w:sz w:val="16"/>
                <w:szCs w:val="16"/>
              </w:rPr>
            </w:pPr>
          </w:p>
          <w:p w14:paraId="269D2506"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75A22A92" w14:textId="77777777" w:rsidR="00CF3535" w:rsidRPr="00B02749" w:rsidRDefault="00CF3535" w:rsidP="00CF3535">
            <w:pPr>
              <w:pStyle w:val="ListParagraph"/>
              <w:numPr>
                <w:ilvl w:val="0"/>
                <w:numId w:val="3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6948299C" w14:textId="77777777" w:rsidR="00CF3535" w:rsidRPr="00B02749" w:rsidRDefault="00CF3535" w:rsidP="00CF3535">
            <w:pPr>
              <w:pStyle w:val="ListParagraph"/>
              <w:numPr>
                <w:ilvl w:val="0"/>
                <w:numId w:val="3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10712835" w14:textId="77777777" w:rsidR="00CF3535" w:rsidRPr="00B02749" w:rsidRDefault="00CF3535" w:rsidP="00CF3535">
            <w:pPr>
              <w:pStyle w:val="ListParagraph"/>
              <w:numPr>
                <w:ilvl w:val="0"/>
                <w:numId w:val="3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60202742" w14:textId="77777777" w:rsidR="00CF3535" w:rsidRPr="00B02749" w:rsidRDefault="00CF3535" w:rsidP="00CF3535">
            <w:pPr>
              <w:spacing w:line="276" w:lineRule="auto"/>
              <w:rPr>
                <w:rFonts w:ascii="Verdana" w:hAnsi="Verdana"/>
                <w:bCs/>
                <w:sz w:val="16"/>
                <w:szCs w:val="16"/>
              </w:rPr>
            </w:pPr>
          </w:p>
          <w:p w14:paraId="4C8EFD0C" w14:textId="77777777" w:rsidR="00CF3535" w:rsidRPr="00B02749" w:rsidRDefault="00CF3535" w:rsidP="00CF3535">
            <w:pPr>
              <w:spacing w:line="276" w:lineRule="auto"/>
              <w:rPr>
                <w:rFonts w:ascii="Verdana" w:hAnsi="Verdana"/>
                <w:b/>
                <w:sz w:val="16"/>
                <w:szCs w:val="16"/>
              </w:rPr>
            </w:pPr>
          </w:p>
          <w:p w14:paraId="248E88AE"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4525A93A" w14:textId="6AB74591" w:rsidR="00CF3535" w:rsidRPr="00F636CC" w:rsidRDefault="00CF3535" w:rsidP="006B5967">
            <w:pPr>
              <w:rPr>
                <w:rFonts w:ascii="Verdana" w:hAnsi="Verdana"/>
                <w:sz w:val="16"/>
                <w:szCs w:val="16"/>
              </w:rPr>
            </w:pPr>
          </w:p>
        </w:tc>
      </w:tr>
      <w:tr w:rsidR="00CF3535" w:rsidRPr="00261DC9" w14:paraId="76574ABB" w14:textId="77777777" w:rsidTr="004703F1">
        <w:trPr>
          <w:trHeight w:val="50"/>
        </w:trPr>
        <w:tc>
          <w:tcPr>
            <w:tcW w:w="7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560EB5B5" w14:textId="77777777" w:rsidR="00CF3535" w:rsidRPr="00261DC9" w:rsidRDefault="00CF3535" w:rsidP="006B5967">
            <w:pPr>
              <w:rPr>
                <w:rFonts w:ascii="Verdana" w:hAnsi="Verdana"/>
                <w:sz w:val="16"/>
                <w:szCs w:val="16"/>
              </w:rPr>
            </w:pPr>
            <w:r>
              <w:rPr>
                <w:rFonts w:ascii="Verdana" w:hAnsi="Verdana"/>
                <w:sz w:val="16"/>
                <w:szCs w:val="16"/>
              </w:rPr>
              <w:t>3.1</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0D5DD62C" w14:textId="77777777" w:rsidR="00CF3535" w:rsidRPr="00261DC9" w:rsidRDefault="00CF3535" w:rsidP="006B5967">
            <w:pPr>
              <w:pStyle w:val="Default"/>
              <w:rPr>
                <w:rFonts w:ascii="Verdana" w:hAnsi="Verdana" w:cs="Helvetica"/>
                <w:sz w:val="16"/>
                <w:szCs w:val="16"/>
              </w:rPr>
            </w:pPr>
            <w:r w:rsidRPr="004F10EB">
              <w:rPr>
                <w:rFonts w:ascii="Verdana" w:hAnsi="Verdana" w:cs="Helvetica"/>
                <w:sz w:val="16"/>
                <w:szCs w:val="16"/>
              </w:rPr>
              <w:t xml:space="preserve">Registered providers must comply in full </w:t>
            </w:r>
            <w:proofErr w:type="gramStart"/>
            <w:r w:rsidRPr="004F10EB">
              <w:rPr>
                <w:rFonts w:ascii="Verdana" w:hAnsi="Verdana" w:cs="Helvetica"/>
                <w:sz w:val="16"/>
                <w:szCs w:val="16"/>
              </w:rPr>
              <w:t>with</w:t>
            </w:r>
            <w:proofErr w:type="gramEnd"/>
            <w:r w:rsidRPr="004F10EB">
              <w:rPr>
                <w:rFonts w:ascii="Verdana" w:hAnsi="Verdana" w:cs="Helvetica"/>
                <w:sz w:val="16"/>
                <w:szCs w:val="16"/>
              </w:rPr>
              <w:t xml:space="preserve"> all the requirements and expectations set out in this Rent Standard. They must additionally comply with all the requirements and expectations of the Rent Policy Statement on the setting, increase and decrease of rents and service charges.</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B2BD14F"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6B098EDA" w14:textId="77777777" w:rsidR="00CF3535" w:rsidRPr="00B02749" w:rsidRDefault="00CF3535" w:rsidP="00CF3535">
            <w:pPr>
              <w:rPr>
                <w:rFonts w:ascii="Verdana" w:hAnsi="Verdana"/>
                <w:sz w:val="16"/>
                <w:szCs w:val="16"/>
              </w:rPr>
            </w:pPr>
          </w:p>
          <w:p w14:paraId="68BA2226" w14:textId="77777777" w:rsidR="00CF3535" w:rsidRPr="00B02749" w:rsidRDefault="00CF3535" w:rsidP="00CF3535">
            <w:pPr>
              <w:rPr>
                <w:rFonts w:ascii="Verdana" w:hAnsi="Verdana"/>
                <w:sz w:val="16"/>
                <w:szCs w:val="16"/>
              </w:rPr>
            </w:pPr>
          </w:p>
          <w:p w14:paraId="47BD0DCE"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3AC7774C" w14:textId="77777777" w:rsidR="00CF3535" w:rsidRPr="00B02749" w:rsidRDefault="00CF3535" w:rsidP="00CF3535">
            <w:pPr>
              <w:pStyle w:val="ListParagraph"/>
              <w:numPr>
                <w:ilvl w:val="0"/>
                <w:numId w:val="3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13861D3" w14:textId="77777777" w:rsidR="00CF3535" w:rsidRPr="00B02749" w:rsidRDefault="00CF3535" w:rsidP="00CF3535">
            <w:pPr>
              <w:pStyle w:val="ListParagraph"/>
              <w:numPr>
                <w:ilvl w:val="0"/>
                <w:numId w:val="3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3B0D8C82" w14:textId="77777777" w:rsidR="00CF3535" w:rsidRPr="00B02749" w:rsidRDefault="00CF3535" w:rsidP="00CF3535">
            <w:pPr>
              <w:pStyle w:val="ListParagraph"/>
              <w:numPr>
                <w:ilvl w:val="0"/>
                <w:numId w:val="3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11D41B31" w14:textId="77777777" w:rsidR="00CF3535" w:rsidRPr="00B02749" w:rsidRDefault="00CF3535" w:rsidP="00CF3535">
            <w:pPr>
              <w:spacing w:line="276" w:lineRule="auto"/>
              <w:rPr>
                <w:rFonts w:ascii="Verdana" w:hAnsi="Verdana"/>
                <w:bCs/>
                <w:sz w:val="16"/>
                <w:szCs w:val="16"/>
              </w:rPr>
            </w:pPr>
          </w:p>
          <w:p w14:paraId="1123D09D" w14:textId="77777777" w:rsidR="00CF3535" w:rsidRPr="00B02749" w:rsidRDefault="00CF3535" w:rsidP="00CF3535">
            <w:pPr>
              <w:spacing w:line="276" w:lineRule="auto"/>
              <w:rPr>
                <w:rFonts w:ascii="Verdana" w:hAnsi="Verdana"/>
                <w:b/>
                <w:sz w:val="16"/>
                <w:szCs w:val="16"/>
              </w:rPr>
            </w:pPr>
          </w:p>
          <w:p w14:paraId="2606D826"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4F93DB77" w14:textId="658342E8" w:rsidR="00CF3535" w:rsidRPr="00C46AC9" w:rsidRDefault="00CF3535" w:rsidP="00C46AC9">
            <w:pPr>
              <w:rPr>
                <w:rFonts w:ascii="Verdana" w:hAnsi="Verdana"/>
                <w:sz w:val="16"/>
                <w:szCs w:val="16"/>
              </w:rPr>
            </w:pPr>
          </w:p>
        </w:tc>
      </w:tr>
      <w:tr w:rsidR="00CF3535" w:rsidRPr="00261DC9" w14:paraId="7C1EFF7A" w14:textId="77777777" w:rsidTr="00515D67">
        <w:trPr>
          <w:trHeight w:val="645"/>
        </w:trPr>
        <w:tc>
          <w:tcPr>
            <w:tcW w:w="760" w:type="dxa"/>
            <w:tcBorders>
              <w:top w:val="double" w:sz="4" w:space="0" w:color="A6A6A6" w:themeColor="background1" w:themeShade="A6"/>
              <w:left w:val="double" w:sz="4" w:space="0" w:color="A6A6A6" w:themeColor="background1" w:themeShade="A6"/>
              <w:right w:val="double" w:sz="4" w:space="0" w:color="A6A6A6" w:themeColor="background1" w:themeShade="A6"/>
            </w:tcBorders>
            <w:shd w:val="clear" w:color="auto" w:fill="F2F2F2" w:themeFill="background1" w:themeFillShade="F2"/>
          </w:tcPr>
          <w:p w14:paraId="0DDAD45C" w14:textId="77777777" w:rsidR="00CF3535" w:rsidRDefault="00CF3535" w:rsidP="006B5967">
            <w:pPr>
              <w:rPr>
                <w:rFonts w:ascii="Verdana" w:hAnsi="Verdana"/>
                <w:sz w:val="16"/>
                <w:szCs w:val="16"/>
              </w:rPr>
            </w:pPr>
            <w:r>
              <w:rPr>
                <w:rFonts w:ascii="Verdana" w:hAnsi="Verdana"/>
                <w:sz w:val="16"/>
                <w:szCs w:val="16"/>
              </w:rPr>
              <w:lastRenderedPageBreak/>
              <w:t>3.2</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1F117A9B" w14:textId="77777777" w:rsidR="00CF3535" w:rsidRDefault="00CF3535" w:rsidP="006B5967">
            <w:pPr>
              <w:pStyle w:val="Default"/>
              <w:rPr>
                <w:rFonts w:ascii="Verdana" w:hAnsi="Verdana" w:cs="Helvetica"/>
                <w:sz w:val="16"/>
                <w:szCs w:val="16"/>
              </w:rPr>
            </w:pPr>
            <w:r w:rsidRPr="004F10EB">
              <w:rPr>
                <w:rFonts w:ascii="Verdana" w:hAnsi="Verdana" w:cs="Helvetica"/>
                <w:sz w:val="16"/>
                <w:szCs w:val="16"/>
              </w:rPr>
              <w:t xml:space="preserve">In the year following the end of the social rent reduction period the maximum weekly rent for an existing tenant is the 2020 limit. “2020 limit” means the amount that is found by: </w:t>
            </w:r>
          </w:p>
          <w:p w14:paraId="7C995416" w14:textId="77777777" w:rsidR="00CF3535" w:rsidRPr="004F10EB" w:rsidRDefault="00CF3535" w:rsidP="006B5967">
            <w:pPr>
              <w:pStyle w:val="Default"/>
              <w:rPr>
                <w:rFonts w:ascii="Verdana" w:hAnsi="Verdana" w:cs="Helvetica"/>
                <w:sz w:val="16"/>
                <w:szCs w:val="16"/>
              </w:rPr>
            </w:pPr>
          </w:p>
          <w:p w14:paraId="213BD0A5" w14:textId="77777777" w:rsidR="00CF3535" w:rsidRDefault="00CF3535" w:rsidP="006B5967">
            <w:pPr>
              <w:pStyle w:val="Default"/>
              <w:numPr>
                <w:ilvl w:val="0"/>
                <w:numId w:val="12"/>
              </w:numPr>
              <w:ind w:left="346" w:hanging="346"/>
              <w:rPr>
                <w:rFonts w:ascii="Verdana" w:hAnsi="Verdana" w:cs="Helvetica"/>
                <w:sz w:val="16"/>
                <w:szCs w:val="16"/>
              </w:rPr>
            </w:pPr>
            <w:r w:rsidRPr="004F10EB">
              <w:rPr>
                <w:rFonts w:ascii="Verdana" w:hAnsi="Verdana" w:cs="Helvetica"/>
                <w:sz w:val="16"/>
                <w:szCs w:val="16"/>
              </w:rPr>
              <w:t>determining the average weekly rent for the tenant’s accommodation in the fourth relevant year specified in section 23(6) of the Welfare Reform and Work Act 2016, and</w:t>
            </w:r>
          </w:p>
          <w:p w14:paraId="0EC01F23" w14:textId="77777777" w:rsidR="00CF3535" w:rsidRDefault="00CF3535" w:rsidP="006B5967">
            <w:pPr>
              <w:pStyle w:val="Default"/>
              <w:numPr>
                <w:ilvl w:val="0"/>
                <w:numId w:val="12"/>
              </w:numPr>
              <w:ind w:left="346" w:hanging="346"/>
              <w:rPr>
                <w:rFonts w:ascii="Verdana" w:hAnsi="Verdana" w:cs="Helvetica"/>
                <w:sz w:val="16"/>
                <w:szCs w:val="16"/>
              </w:rPr>
            </w:pPr>
            <w:r w:rsidRPr="004F10EB">
              <w:rPr>
                <w:rFonts w:ascii="Verdana" w:hAnsi="Verdana" w:cs="Helvetica"/>
                <w:sz w:val="16"/>
                <w:szCs w:val="16"/>
              </w:rPr>
              <w:t>inc</w:t>
            </w:r>
            <w:r>
              <w:rPr>
                <w:rFonts w:ascii="Verdana" w:hAnsi="Verdana" w:cs="Helvetica"/>
                <w:sz w:val="16"/>
                <w:szCs w:val="16"/>
              </w:rPr>
              <w:t>reasing that amount by CPI + 1%</w:t>
            </w:r>
          </w:p>
          <w:p w14:paraId="7B774958" w14:textId="77777777" w:rsidR="00CF3535" w:rsidRPr="00FA798A" w:rsidRDefault="00CF3535" w:rsidP="006B5967">
            <w:pPr>
              <w:pStyle w:val="Default"/>
              <w:numPr>
                <w:ilvl w:val="0"/>
                <w:numId w:val="12"/>
              </w:numPr>
              <w:ind w:left="346" w:hanging="346"/>
              <w:rPr>
                <w:rFonts w:ascii="Verdana" w:hAnsi="Verdana" w:cs="Helvetica"/>
                <w:sz w:val="16"/>
                <w:szCs w:val="16"/>
              </w:rPr>
            </w:pPr>
            <w:r w:rsidRPr="00FA798A">
              <w:rPr>
                <w:rFonts w:ascii="Verdana" w:hAnsi="Verdana" w:cs="Helvetica"/>
                <w:sz w:val="16"/>
                <w:szCs w:val="16"/>
              </w:rPr>
              <w:t xml:space="preserve"> in this paragraph “average weekly rent” means: </w:t>
            </w:r>
          </w:p>
          <w:p w14:paraId="2A45A7B0" w14:textId="77777777" w:rsidR="00CF3535" w:rsidRPr="004F10EB" w:rsidRDefault="00CF3535" w:rsidP="006B5967">
            <w:pPr>
              <w:pStyle w:val="Default"/>
              <w:rPr>
                <w:rFonts w:ascii="Verdana" w:hAnsi="Verdana" w:cs="Helvetica"/>
                <w:sz w:val="16"/>
                <w:szCs w:val="16"/>
              </w:rPr>
            </w:pPr>
            <w:r w:rsidRPr="004F10EB">
              <w:rPr>
                <w:rFonts w:ascii="Verdana" w:hAnsi="Verdana" w:cs="Helvetica"/>
                <w:sz w:val="16"/>
                <w:szCs w:val="16"/>
              </w:rPr>
              <w:t xml:space="preserve"> </w:t>
            </w:r>
          </w:p>
          <w:p w14:paraId="4D3EC202" w14:textId="77777777" w:rsidR="00CF3535" w:rsidRPr="004F10EB" w:rsidRDefault="00CF3535" w:rsidP="006B5967">
            <w:pPr>
              <w:pStyle w:val="Default"/>
              <w:rPr>
                <w:rFonts w:ascii="Verdana" w:hAnsi="Verdana" w:cs="Helvetica"/>
                <w:sz w:val="16"/>
                <w:szCs w:val="16"/>
              </w:rPr>
            </w:pPr>
            <w:r w:rsidRPr="004F10EB">
              <w:rPr>
                <w:rFonts w:ascii="Verdana" w:hAnsi="Verdana" w:cs="Helvetica"/>
                <w:sz w:val="16"/>
                <w:szCs w:val="16"/>
              </w:rPr>
              <w:t xml:space="preserve"> </w:t>
            </w:r>
          </w:p>
          <w:p w14:paraId="7BA5B3F8" w14:textId="77777777" w:rsidR="00CF3535" w:rsidRDefault="00CF3535" w:rsidP="006B5967">
            <w:pPr>
              <w:pStyle w:val="Default"/>
              <w:numPr>
                <w:ilvl w:val="0"/>
                <w:numId w:val="13"/>
              </w:numPr>
              <w:rPr>
                <w:rFonts w:ascii="Verdana" w:hAnsi="Verdana" w:cs="Helvetica"/>
                <w:sz w:val="16"/>
                <w:szCs w:val="16"/>
              </w:rPr>
            </w:pPr>
            <w:r>
              <w:rPr>
                <w:rFonts w:ascii="Verdana" w:hAnsi="Verdana" w:cs="Helvetica"/>
                <w:sz w:val="16"/>
                <w:szCs w:val="16"/>
              </w:rPr>
              <w:t>I</w:t>
            </w:r>
            <w:r w:rsidRPr="004F10EB">
              <w:rPr>
                <w:rFonts w:ascii="Verdana" w:hAnsi="Verdana" w:cs="Helvetica"/>
                <w:sz w:val="16"/>
                <w:szCs w:val="16"/>
              </w:rPr>
              <w:t xml:space="preserve">n a case where the weekly rent changes because the accommodation is re-let after the start of the fourth year, the weekly rent payable by that tenant for that accommodation in respect of the most recent period for which rent was payable at that changed rate provided that that change complies with the requirements of the of the social housing provisions6 of the Welfare Reform and Work Act 2016 Act and any Regulations made under those </w:t>
            </w:r>
            <w:proofErr w:type="gramStart"/>
            <w:r w:rsidRPr="004F10EB">
              <w:rPr>
                <w:rFonts w:ascii="Verdana" w:hAnsi="Verdana" w:cs="Helvetica"/>
                <w:sz w:val="16"/>
                <w:szCs w:val="16"/>
              </w:rPr>
              <w:t>provisions;</w:t>
            </w:r>
            <w:proofErr w:type="gramEnd"/>
            <w:r w:rsidRPr="004F10EB">
              <w:rPr>
                <w:rFonts w:ascii="Verdana" w:hAnsi="Verdana" w:cs="Helvetica"/>
                <w:sz w:val="16"/>
                <w:szCs w:val="16"/>
              </w:rPr>
              <w:t xml:space="preserve"> or</w:t>
            </w:r>
          </w:p>
          <w:p w14:paraId="1EF62ADB" w14:textId="77777777" w:rsidR="00CF3535" w:rsidRPr="004F10EB" w:rsidRDefault="00CF3535" w:rsidP="006B5967">
            <w:pPr>
              <w:pStyle w:val="Default"/>
              <w:rPr>
                <w:rFonts w:ascii="Verdana" w:hAnsi="Verdana" w:cs="Helvetica"/>
                <w:sz w:val="16"/>
                <w:szCs w:val="16"/>
              </w:rPr>
            </w:pPr>
            <w:r w:rsidRPr="004F10EB">
              <w:rPr>
                <w:rFonts w:ascii="Verdana" w:hAnsi="Verdana" w:cs="Helvetica"/>
                <w:sz w:val="16"/>
                <w:szCs w:val="16"/>
              </w:rPr>
              <w:t xml:space="preserve"> </w:t>
            </w:r>
          </w:p>
          <w:p w14:paraId="64D6CD7A" w14:textId="77777777" w:rsidR="00CF3535" w:rsidRDefault="00CF3535" w:rsidP="006B5967">
            <w:pPr>
              <w:pStyle w:val="Default"/>
              <w:numPr>
                <w:ilvl w:val="0"/>
                <w:numId w:val="13"/>
              </w:numPr>
              <w:rPr>
                <w:rFonts w:ascii="Verdana" w:hAnsi="Verdana" w:cs="Helvetica"/>
                <w:sz w:val="16"/>
                <w:szCs w:val="16"/>
              </w:rPr>
            </w:pPr>
            <w:r>
              <w:rPr>
                <w:rFonts w:ascii="Verdana" w:hAnsi="Verdana" w:cs="Helvetica"/>
                <w:sz w:val="16"/>
                <w:szCs w:val="16"/>
              </w:rPr>
              <w:t>I</w:t>
            </w:r>
            <w:r w:rsidRPr="004F10EB">
              <w:rPr>
                <w:rFonts w:ascii="Verdana" w:hAnsi="Verdana" w:cs="Helvetica"/>
                <w:sz w:val="16"/>
                <w:szCs w:val="16"/>
              </w:rPr>
              <w:t>n any other case, the average weekly rent payable by the tenant of that accommodation in respect of the fourth year.</w:t>
            </w:r>
          </w:p>
          <w:p w14:paraId="1F95AAD2" w14:textId="77777777" w:rsidR="00CF3535" w:rsidRPr="004F10EB" w:rsidRDefault="00CF3535" w:rsidP="006B5967">
            <w:pPr>
              <w:pStyle w:val="Default"/>
              <w:rPr>
                <w:rFonts w:ascii="Verdana" w:hAnsi="Verdana" w:cs="Helvetica"/>
                <w:sz w:val="16"/>
                <w:szCs w:val="16"/>
              </w:rPr>
            </w:pP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2183D44"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6F31CC4" w14:textId="77777777" w:rsidR="00CF3535" w:rsidRPr="00B02749" w:rsidRDefault="00CF3535" w:rsidP="00CF3535">
            <w:pPr>
              <w:rPr>
                <w:rFonts w:ascii="Verdana" w:hAnsi="Verdana"/>
                <w:sz w:val="16"/>
                <w:szCs w:val="16"/>
              </w:rPr>
            </w:pPr>
          </w:p>
          <w:p w14:paraId="07A3547D" w14:textId="77777777" w:rsidR="00CF3535" w:rsidRPr="00B02749" w:rsidRDefault="00CF3535" w:rsidP="00CF3535">
            <w:pPr>
              <w:rPr>
                <w:rFonts w:ascii="Verdana" w:hAnsi="Verdana"/>
                <w:sz w:val="16"/>
                <w:szCs w:val="16"/>
              </w:rPr>
            </w:pPr>
          </w:p>
          <w:p w14:paraId="1FECE540"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5E2397AC" w14:textId="77777777" w:rsidR="00CF3535" w:rsidRPr="00B02749" w:rsidRDefault="00CF3535" w:rsidP="00CF3535">
            <w:pPr>
              <w:pStyle w:val="ListParagraph"/>
              <w:numPr>
                <w:ilvl w:val="0"/>
                <w:numId w:val="3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67E9002" w14:textId="77777777" w:rsidR="00CF3535" w:rsidRPr="00B02749" w:rsidRDefault="00CF3535" w:rsidP="00CF3535">
            <w:pPr>
              <w:pStyle w:val="ListParagraph"/>
              <w:numPr>
                <w:ilvl w:val="0"/>
                <w:numId w:val="3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10674D22" w14:textId="77777777" w:rsidR="00CF3535" w:rsidRPr="00B02749" w:rsidRDefault="00CF3535" w:rsidP="00CF3535">
            <w:pPr>
              <w:pStyle w:val="ListParagraph"/>
              <w:numPr>
                <w:ilvl w:val="0"/>
                <w:numId w:val="3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6606D1DD" w14:textId="77777777" w:rsidR="00CF3535" w:rsidRPr="00B02749" w:rsidRDefault="00CF3535" w:rsidP="00CF3535">
            <w:pPr>
              <w:spacing w:line="276" w:lineRule="auto"/>
              <w:rPr>
                <w:rFonts w:ascii="Verdana" w:hAnsi="Verdana"/>
                <w:bCs/>
                <w:sz w:val="16"/>
                <w:szCs w:val="16"/>
              </w:rPr>
            </w:pPr>
          </w:p>
          <w:p w14:paraId="2EADF430" w14:textId="77777777" w:rsidR="00CF3535" w:rsidRPr="00B02749" w:rsidRDefault="00CF3535" w:rsidP="00CF3535">
            <w:pPr>
              <w:spacing w:line="276" w:lineRule="auto"/>
              <w:rPr>
                <w:rFonts w:ascii="Verdana" w:hAnsi="Verdana"/>
                <w:b/>
                <w:sz w:val="16"/>
                <w:szCs w:val="16"/>
              </w:rPr>
            </w:pPr>
          </w:p>
          <w:p w14:paraId="627D944D"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64431239" w14:textId="7E602F90" w:rsidR="00CF3535" w:rsidRPr="001750C6" w:rsidRDefault="00CF3535" w:rsidP="006B5967">
            <w:pPr>
              <w:rPr>
                <w:rFonts w:ascii="Verdana" w:hAnsi="Verdana"/>
                <w:sz w:val="16"/>
              </w:rPr>
            </w:pPr>
          </w:p>
        </w:tc>
      </w:tr>
      <w:tr w:rsidR="00CF3535" w:rsidRPr="00261DC9" w14:paraId="5ED80CA5" w14:textId="77777777" w:rsidTr="005D4028">
        <w:trPr>
          <w:trHeight w:val="858"/>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4C3BE54E" w14:textId="77777777" w:rsidR="00CF3535" w:rsidRDefault="00CF3535" w:rsidP="006B5967">
            <w:pPr>
              <w:rPr>
                <w:rFonts w:ascii="Verdana" w:hAnsi="Verdana"/>
                <w:sz w:val="16"/>
                <w:szCs w:val="16"/>
              </w:rPr>
            </w:pPr>
            <w:r>
              <w:rPr>
                <w:rFonts w:ascii="Verdana" w:hAnsi="Verdana"/>
                <w:sz w:val="16"/>
                <w:szCs w:val="16"/>
              </w:rPr>
              <w:t>3.3</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30D8B016" w14:textId="77777777" w:rsidR="00CF3535" w:rsidRPr="004F10EB" w:rsidRDefault="00CF3535" w:rsidP="006B5967">
            <w:pPr>
              <w:pStyle w:val="Default"/>
              <w:rPr>
                <w:rFonts w:ascii="Verdana" w:hAnsi="Verdana" w:cs="Helvetica"/>
                <w:sz w:val="16"/>
                <w:szCs w:val="16"/>
              </w:rPr>
            </w:pPr>
            <w:r w:rsidRPr="00FA798A">
              <w:rPr>
                <w:rFonts w:ascii="Verdana" w:hAnsi="Verdana" w:cs="Helvetica"/>
                <w:sz w:val="16"/>
                <w:szCs w:val="16"/>
              </w:rPr>
              <w:t>This formula for calculating the 2020 limit applies to both Social Rent and affordable rent housing.</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5DF66FB"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067E7F7B" w14:textId="77777777" w:rsidR="00CF3535" w:rsidRPr="00B02749" w:rsidRDefault="00CF3535" w:rsidP="00CF3535">
            <w:pPr>
              <w:rPr>
                <w:rFonts w:ascii="Verdana" w:hAnsi="Verdana"/>
                <w:sz w:val="16"/>
                <w:szCs w:val="16"/>
              </w:rPr>
            </w:pPr>
          </w:p>
          <w:p w14:paraId="3DED526C" w14:textId="77777777" w:rsidR="00CF3535" w:rsidRPr="00B02749" w:rsidRDefault="00CF3535" w:rsidP="00CF3535">
            <w:pPr>
              <w:rPr>
                <w:rFonts w:ascii="Verdana" w:hAnsi="Verdana"/>
                <w:sz w:val="16"/>
                <w:szCs w:val="16"/>
              </w:rPr>
            </w:pPr>
          </w:p>
          <w:p w14:paraId="547FD0AD"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67555B6" w14:textId="77777777" w:rsidR="00CF3535" w:rsidRPr="00B02749" w:rsidRDefault="00CF3535" w:rsidP="00CF3535">
            <w:pPr>
              <w:pStyle w:val="ListParagraph"/>
              <w:numPr>
                <w:ilvl w:val="0"/>
                <w:numId w:val="3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E66114B" w14:textId="77777777" w:rsidR="00CF3535" w:rsidRPr="00B02749" w:rsidRDefault="00CF3535" w:rsidP="00CF3535">
            <w:pPr>
              <w:pStyle w:val="ListParagraph"/>
              <w:numPr>
                <w:ilvl w:val="0"/>
                <w:numId w:val="3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4CB22C7B" w14:textId="77777777" w:rsidR="00CF3535" w:rsidRPr="00B02749" w:rsidRDefault="00CF3535" w:rsidP="00CF3535">
            <w:pPr>
              <w:pStyle w:val="ListParagraph"/>
              <w:numPr>
                <w:ilvl w:val="0"/>
                <w:numId w:val="3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6A615A66" w14:textId="77777777" w:rsidR="00CF3535" w:rsidRPr="00B02749" w:rsidRDefault="00CF3535" w:rsidP="00CF3535">
            <w:pPr>
              <w:spacing w:line="276" w:lineRule="auto"/>
              <w:rPr>
                <w:rFonts w:ascii="Verdana" w:hAnsi="Verdana"/>
                <w:bCs/>
                <w:sz w:val="16"/>
                <w:szCs w:val="16"/>
              </w:rPr>
            </w:pPr>
          </w:p>
          <w:p w14:paraId="33D5F497" w14:textId="77777777" w:rsidR="00CF3535" w:rsidRPr="00B02749" w:rsidRDefault="00CF3535" w:rsidP="00CF3535">
            <w:pPr>
              <w:spacing w:line="276" w:lineRule="auto"/>
              <w:rPr>
                <w:rFonts w:ascii="Verdana" w:hAnsi="Verdana"/>
                <w:b/>
                <w:sz w:val="16"/>
                <w:szCs w:val="16"/>
              </w:rPr>
            </w:pPr>
          </w:p>
          <w:p w14:paraId="32151029"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605CAFFB" w14:textId="65256D2E" w:rsidR="00CF3535" w:rsidRPr="003F5CEB" w:rsidRDefault="00CF3535" w:rsidP="006B5967">
            <w:pPr>
              <w:rPr>
                <w:rFonts w:ascii="Verdana" w:hAnsi="Verdana"/>
                <w:sz w:val="16"/>
                <w:szCs w:val="16"/>
              </w:rPr>
            </w:pPr>
          </w:p>
        </w:tc>
      </w:tr>
      <w:tr w:rsidR="00CF3535" w:rsidRPr="00261DC9" w14:paraId="7017F057" w14:textId="77777777" w:rsidTr="00AE0F24">
        <w:trPr>
          <w:trHeight w:val="286"/>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2169F554" w14:textId="77777777" w:rsidR="00CF3535" w:rsidRDefault="00CF3535" w:rsidP="006B5967">
            <w:pPr>
              <w:rPr>
                <w:rFonts w:ascii="Verdana" w:hAnsi="Verdana"/>
                <w:sz w:val="16"/>
                <w:szCs w:val="16"/>
              </w:rPr>
            </w:pPr>
            <w:r w:rsidRPr="00FA798A">
              <w:rPr>
                <w:rFonts w:ascii="Verdana" w:hAnsi="Verdana" w:cs="Helvetica"/>
                <w:sz w:val="16"/>
                <w:szCs w:val="16"/>
              </w:rPr>
              <w:t>3.4</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78F553C1" w14:textId="77777777" w:rsidR="00CF3535" w:rsidRPr="004F10EB" w:rsidRDefault="00CF3535" w:rsidP="006B5967">
            <w:pPr>
              <w:pStyle w:val="Default"/>
              <w:rPr>
                <w:rFonts w:ascii="Verdana" w:hAnsi="Verdana" w:cs="Helvetica"/>
                <w:sz w:val="16"/>
                <w:szCs w:val="16"/>
              </w:rPr>
            </w:pPr>
            <w:r w:rsidRPr="00FA798A">
              <w:rPr>
                <w:rFonts w:ascii="Verdana" w:hAnsi="Verdana" w:cs="Helvetica"/>
                <w:sz w:val="16"/>
                <w:szCs w:val="16"/>
              </w:rPr>
              <w:t>Where accommodation is not affordable rent housing (see 3.8-3.9 below) the maximum weekly rent for a tenant who is granted a tenancy of the accommodation for the first time is formula rent. Formula rents are exclusive of any service charges.</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E59F492"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C0864A6" w14:textId="77777777" w:rsidR="00CF3535" w:rsidRPr="00B02749" w:rsidRDefault="00CF3535" w:rsidP="00CF3535">
            <w:pPr>
              <w:rPr>
                <w:rFonts w:ascii="Verdana" w:hAnsi="Verdana"/>
                <w:sz w:val="16"/>
                <w:szCs w:val="16"/>
              </w:rPr>
            </w:pPr>
          </w:p>
          <w:p w14:paraId="090A0575" w14:textId="77777777" w:rsidR="00CF3535" w:rsidRPr="00B02749" w:rsidRDefault="00CF3535" w:rsidP="00CF3535">
            <w:pPr>
              <w:rPr>
                <w:rFonts w:ascii="Verdana" w:hAnsi="Verdana"/>
                <w:sz w:val="16"/>
                <w:szCs w:val="16"/>
              </w:rPr>
            </w:pPr>
          </w:p>
          <w:p w14:paraId="6080021D"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29DDFD9C" w14:textId="77777777" w:rsidR="00CF3535" w:rsidRPr="00B02749" w:rsidRDefault="00CF3535" w:rsidP="00CF3535">
            <w:pPr>
              <w:pStyle w:val="ListParagraph"/>
              <w:numPr>
                <w:ilvl w:val="0"/>
                <w:numId w:val="3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445712CD" w14:textId="77777777" w:rsidR="00CF3535" w:rsidRPr="00B02749" w:rsidRDefault="00CF3535" w:rsidP="00CF3535">
            <w:pPr>
              <w:pStyle w:val="ListParagraph"/>
              <w:numPr>
                <w:ilvl w:val="0"/>
                <w:numId w:val="3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5B79271A" w14:textId="77777777" w:rsidR="00CF3535" w:rsidRPr="00B02749" w:rsidRDefault="00CF3535" w:rsidP="00CF3535">
            <w:pPr>
              <w:pStyle w:val="ListParagraph"/>
              <w:numPr>
                <w:ilvl w:val="0"/>
                <w:numId w:val="3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51DDE81C" w14:textId="77777777" w:rsidR="00CF3535" w:rsidRPr="00B02749" w:rsidRDefault="00CF3535" w:rsidP="00CF3535">
            <w:pPr>
              <w:spacing w:line="276" w:lineRule="auto"/>
              <w:rPr>
                <w:rFonts w:ascii="Verdana" w:hAnsi="Verdana"/>
                <w:bCs/>
                <w:sz w:val="16"/>
                <w:szCs w:val="16"/>
              </w:rPr>
            </w:pPr>
          </w:p>
          <w:p w14:paraId="491E67F1" w14:textId="77777777" w:rsidR="00CF3535" w:rsidRPr="00B02749" w:rsidRDefault="00CF3535" w:rsidP="00CF3535">
            <w:pPr>
              <w:spacing w:line="276" w:lineRule="auto"/>
              <w:rPr>
                <w:rFonts w:ascii="Verdana" w:hAnsi="Verdana"/>
                <w:b/>
                <w:sz w:val="16"/>
                <w:szCs w:val="16"/>
              </w:rPr>
            </w:pPr>
          </w:p>
          <w:p w14:paraId="2E86665D"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1BCF05A3" w14:textId="77777777" w:rsidR="00CF3535" w:rsidRPr="000413FD" w:rsidRDefault="00CF3535" w:rsidP="006B5967">
            <w:pPr>
              <w:rPr>
                <w:rFonts w:ascii="Verdana" w:hAnsi="Verdana"/>
                <w:b/>
                <w:sz w:val="6"/>
                <w:szCs w:val="16"/>
              </w:rPr>
            </w:pPr>
          </w:p>
        </w:tc>
      </w:tr>
      <w:tr w:rsidR="00CF3535" w:rsidRPr="00261DC9" w14:paraId="281F4EC6" w14:textId="77777777" w:rsidTr="00836887">
        <w:trPr>
          <w:trHeight w:val="2388"/>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616C274C" w14:textId="77777777" w:rsidR="00CF3535" w:rsidRDefault="00CF3535" w:rsidP="006B5967">
            <w:pPr>
              <w:rPr>
                <w:rFonts w:ascii="Verdana" w:hAnsi="Verdana"/>
                <w:sz w:val="16"/>
                <w:szCs w:val="16"/>
              </w:rPr>
            </w:pPr>
            <w:r>
              <w:rPr>
                <w:rFonts w:ascii="Verdana" w:hAnsi="Verdana"/>
                <w:sz w:val="16"/>
                <w:szCs w:val="16"/>
              </w:rPr>
              <w:lastRenderedPageBreak/>
              <w:t>3.5</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0D2C8BD1"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 xml:space="preserve">The formula rent of accommodation is found in accordance with the method set out in paragraphs 2.4 to 2.6 of the Rent Policy Statement. The rent set may include an upwards tolerance – “Rent Flexibility” – of </w:t>
            </w:r>
          </w:p>
          <w:p w14:paraId="00FC9869" w14:textId="77777777" w:rsidR="00CF3535" w:rsidRDefault="00CF3535" w:rsidP="006B5967">
            <w:pPr>
              <w:pStyle w:val="Default"/>
              <w:rPr>
                <w:rFonts w:ascii="Verdana" w:hAnsi="Verdana" w:cs="Helvetica"/>
                <w:sz w:val="16"/>
                <w:szCs w:val="16"/>
              </w:rPr>
            </w:pPr>
          </w:p>
          <w:p w14:paraId="756FB28F" w14:textId="77777777" w:rsidR="00CF3535" w:rsidRDefault="00CF3535" w:rsidP="006B5967">
            <w:pPr>
              <w:pStyle w:val="Default"/>
              <w:rPr>
                <w:rFonts w:ascii="Verdana" w:hAnsi="Verdana" w:cs="Helvetica"/>
                <w:sz w:val="16"/>
                <w:szCs w:val="16"/>
              </w:rPr>
            </w:pPr>
            <w:r w:rsidRPr="00FA798A">
              <w:rPr>
                <w:rFonts w:ascii="Verdana" w:hAnsi="Verdana" w:cs="Helvetica"/>
                <w:sz w:val="16"/>
                <w:szCs w:val="16"/>
              </w:rPr>
              <w:t xml:space="preserve">• if the accommodation is supported housing, 10% of formula rent; or </w:t>
            </w:r>
          </w:p>
          <w:p w14:paraId="5921FD8D"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 xml:space="preserve">• if the accommodation is not supported housing, 5% of formula rent. </w:t>
            </w:r>
          </w:p>
          <w:p w14:paraId="0808FB4B" w14:textId="77777777" w:rsidR="00CF3535" w:rsidRPr="004F6337" w:rsidRDefault="00CF3535" w:rsidP="006B5967">
            <w:pPr>
              <w:pStyle w:val="Default"/>
              <w:rPr>
                <w:rFonts w:ascii="Verdana" w:hAnsi="Verdana" w:cs="Helvetica"/>
                <w:sz w:val="8"/>
                <w:szCs w:val="16"/>
              </w:rPr>
            </w:pP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931C037"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54A7C0E4" w14:textId="77777777" w:rsidR="00CF3535" w:rsidRPr="00B02749" w:rsidRDefault="00CF3535" w:rsidP="00CF3535">
            <w:pPr>
              <w:rPr>
                <w:rFonts w:ascii="Verdana" w:hAnsi="Verdana"/>
                <w:sz w:val="16"/>
                <w:szCs w:val="16"/>
              </w:rPr>
            </w:pPr>
          </w:p>
          <w:p w14:paraId="429FCC89" w14:textId="77777777" w:rsidR="00CF3535" w:rsidRPr="00B02749" w:rsidRDefault="00CF3535" w:rsidP="00CF3535">
            <w:pPr>
              <w:rPr>
                <w:rFonts w:ascii="Verdana" w:hAnsi="Verdana"/>
                <w:sz w:val="16"/>
                <w:szCs w:val="16"/>
              </w:rPr>
            </w:pPr>
          </w:p>
          <w:p w14:paraId="07767838"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66EEA4A7" w14:textId="77777777" w:rsidR="00CF3535" w:rsidRPr="00B02749" w:rsidRDefault="00CF3535" w:rsidP="00CF3535">
            <w:pPr>
              <w:pStyle w:val="ListParagraph"/>
              <w:numPr>
                <w:ilvl w:val="0"/>
                <w:numId w:val="3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6C2F903A" w14:textId="77777777" w:rsidR="00CF3535" w:rsidRPr="00B02749" w:rsidRDefault="00CF3535" w:rsidP="00CF3535">
            <w:pPr>
              <w:pStyle w:val="ListParagraph"/>
              <w:numPr>
                <w:ilvl w:val="0"/>
                <w:numId w:val="3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77BD010B" w14:textId="77777777" w:rsidR="00CF3535" w:rsidRPr="00B02749" w:rsidRDefault="00CF3535" w:rsidP="00CF3535">
            <w:pPr>
              <w:pStyle w:val="ListParagraph"/>
              <w:numPr>
                <w:ilvl w:val="0"/>
                <w:numId w:val="3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28DE0C7E" w14:textId="77777777" w:rsidR="00CF3535" w:rsidRPr="00B02749" w:rsidRDefault="00CF3535" w:rsidP="00CF3535">
            <w:pPr>
              <w:spacing w:line="276" w:lineRule="auto"/>
              <w:rPr>
                <w:rFonts w:ascii="Verdana" w:hAnsi="Verdana"/>
                <w:bCs/>
                <w:sz w:val="16"/>
                <w:szCs w:val="16"/>
              </w:rPr>
            </w:pPr>
          </w:p>
          <w:p w14:paraId="6991FD3C" w14:textId="77777777" w:rsidR="00CF3535" w:rsidRPr="00B02749" w:rsidRDefault="00CF3535" w:rsidP="00CF3535">
            <w:pPr>
              <w:spacing w:line="276" w:lineRule="auto"/>
              <w:rPr>
                <w:rFonts w:ascii="Verdana" w:hAnsi="Verdana"/>
                <w:b/>
                <w:sz w:val="16"/>
                <w:szCs w:val="16"/>
              </w:rPr>
            </w:pPr>
          </w:p>
          <w:p w14:paraId="20ACE13B"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3663A78B" w14:textId="34887386" w:rsidR="00CF3535" w:rsidRPr="001873E7" w:rsidRDefault="00CF3535" w:rsidP="001873E7">
            <w:pPr>
              <w:rPr>
                <w:rFonts w:ascii="Verdana" w:hAnsi="Verdana"/>
                <w:sz w:val="16"/>
                <w:szCs w:val="16"/>
              </w:rPr>
            </w:pPr>
          </w:p>
        </w:tc>
      </w:tr>
      <w:tr w:rsidR="00CF3535" w:rsidRPr="00261DC9" w14:paraId="361DF7F7" w14:textId="77777777" w:rsidTr="003F7998">
        <w:trPr>
          <w:trHeight w:val="1177"/>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541DBC26" w14:textId="77777777" w:rsidR="00CF3535" w:rsidRDefault="00CF3535" w:rsidP="006B5967">
            <w:pPr>
              <w:rPr>
                <w:rFonts w:ascii="Verdana" w:hAnsi="Verdana"/>
                <w:sz w:val="16"/>
                <w:szCs w:val="16"/>
              </w:rPr>
            </w:pPr>
            <w:r>
              <w:rPr>
                <w:rFonts w:ascii="Verdana" w:hAnsi="Verdana"/>
                <w:sz w:val="16"/>
                <w:szCs w:val="16"/>
              </w:rPr>
              <w:t>3.6</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13C7DCD1" w14:textId="77777777" w:rsidR="00CF3535" w:rsidRPr="004F10EB" w:rsidRDefault="00CF3535" w:rsidP="006B5967">
            <w:pPr>
              <w:pStyle w:val="Default"/>
              <w:rPr>
                <w:rFonts w:ascii="Verdana" w:hAnsi="Verdana" w:cs="Helvetica"/>
                <w:sz w:val="16"/>
                <w:szCs w:val="16"/>
              </w:rPr>
            </w:pPr>
            <w:r w:rsidRPr="00FA798A">
              <w:rPr>
                <w:rFonts w:ascii="Verdana" w:hAnsi="Verdana" w:cs="Helvetica"/>
                <w:sz w:val="16"/>
                <w:szCs w:val="16"/>
              </w:rPr>
              <w:t>As set out in paragraph 2.8 and 2.9 of the Rent Policy Statement, formula rent is subject to the rent cap. The rent cap is determined in accordance with paragraphs 11 and 12 of Appendix A to the Rent Policy Statement.</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2A88544"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260D674F" w14:textId="77777777" w:rsidR="00CF3535" w:rsidRPr="00B02749" w:rsidRDefault="00CF3535" w:rsidP="00CF3535">
            <w:pPr>
              <w:rPr>
                <w:rFonts w:ascii="Verdana" w:hAnsi="Verdana"/>
                <w:sz w:val="16"/>
                <w:szCs w:val="16"/>
              </w:rPr>
            </w:pPr>
          </w:p>
          <w:p w14:paraId="6B4100DD" w14:textId="77777777" w:rsidR="00CF3535" w:rsidRPr="00B02749" w:rsidRDefault="00CF3535" w:rsidP="00CF3535">
            <w:pPr>
              <w:rPr>
                <w:rFonts w:ascii="Verdana" w:hAnsi="Verdana"/>
                <w:sz w:val="16"/>
                <w:szCs w:val="16"/>
              </w:rPr>
            </w:pPr>
          </w:p>
          <w:p w14:paraId="37CAFCD8"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0152CD4E" w14:textId="77777777" w:rsidR="00CF3535" w:rsidRPr="00B02749" w:rsidRDefault="00CF3535" w:rsidP="00CF3535">
            <w:pPr>
              <w:pStyle w:val="ListParagraph"/>
              <w:numPr>
                <w:ilvl w:val="0"/>
                <w:numId w:val="3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609ACCDA" w14:textId="77777777" w:rsidR="00CF3535" w:rsidRPr="00B02749" w:rsidRDefault="00CF3535" w:rsidP="00CF3535">
            <w:pPr>
              <w:pStyle w:val="ListParagraph"/>
              <w:numPr>
                <w:ilvl w:val="0"/>
                <w:numId w:val="3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2DB1A4C9" w14:textId="77777777" w:rsidR="00CF3535" w:rsidRPr="00B02749" w:rsidRDefault="00CF3535" w:rsidP="00CF3535">
            <w:pPr>
              <w:pStyle w:val="ListParagraph"/>
              <w:numPr>
                <w:ilvl w:val="0"/>
                <w:numId w:val="3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130B6CF1" w14:textId="77777777" w:rsidR="00CF3535" w:rsidRPr="00B02749" w:rsidRDefault="00CF3535" w:rsidP="00CF3535">
            <w:pPr>
              <w:spacing w:line="276" w:lineRule="auto"/>
              <w:rPr>
                <w:rFonts w:ascii="Verdana" w:hAnsi="Verdana"/>
                <w:bCs/>
                <w:sz w:val="16"/>
                <w:szCs w:val="16"/>
              </w:rPr>
            </w:pPr>
          </w:p>
          <w:p w14:paraId="385F1CB0" w14:textId="77777777" w:rsidR="00CF3535" w:rsidRPr="00B02749" w:rsidRDefault="00CF3535" w:rsidP="00CF3535">
            <w:pPr>
              <w:spacing w:line="276" w:lineRule="auto"/>
              <w:rPr>
                <w:rFonts w:ascii="Verdana" w:hAnsi="Verdana"/>
                <w:b/>
                <w:sz w:val="16"/>
                <w:szCs w:val="16"/>
              </w:rPr>
            </w:pPr>
          </w:p>
          <w:p w14:paraId="33DC5C30"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3E0738E1" w14:textId="404917C8" w:rsidR="00CF3535" w:rsidRPr="00F636CC" w:rsidRDefault="00CF3535" w:rsidP="00BD627E">
            <w:pPr>
              <w:rPr>
                <w:rFonts w:ascii="Verdana" w:hAnsi="Verdana"/>
                <w:sz w:val="16"/>
                <w:szCs w:val="16"/>
              </w:rPr>
            </w:pPr>
          </w:p>
        </w:tc>
      </w:tr>
      <w:tr w:rsidR="00CF3535" w:rsidRPr="00261DC9" w14:paraId="235602B0" w14:textId="77777777" w:rsidTr="0061507D">
        <w:trPr>
          <w:trHeight w:val="1427"/>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36BE8B9C" w14:textId="77777777" w:rsidR="00CF3535" w:rsidRDefault="00CF3535" w:rsidP="006B5967">
            <w:pPr>
              <w:rPr>
                <w:rFonts w:ascii="Verdana" w:hAnsi="Verdana"/>
                <w:sz w:val="16"/>
                <w:szCs w:val="16"/>
              </w:rPr>
            </w:pPr>
            <w:r>
              <w:rPr>
                <w:rFonts w:ascii="Verdana" w:hAnsi="Verdana"/>
                <w:sz w:val="16"/>
                <w:szCs w:val="16"/>
              </w:rPr>
              <w:t>3.7</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46FEA116"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 xml:space="preserve">Subject to the 2020 limit (see above), the weekly rent of any existing tenant may not be increased by more than: </w:t>
            </w:r>
          </w:p>
          <w:p w14:paraId="3176926C" w14:textId="77777777" w:rsidR="00CF3535" w:rsidRDefault="00CF3535" w:rsidP="006B5967">
            <w:pPr>
              <w:pStyle w:val="Default"/>
              <w:rPr>
                <w:rFonts w:ascii="Verdana" w:hAnsi="Verdana" w:cs="Helvetica"/>
                <w:sz w:val="16"/>
                <w:szCs w:val="16"/>
              </w:rPr>
            </w:pPr>
            <w:r w:rsidRPr="00FA798A">
              <w:rPr>
                <w:rFonts w:ascii="Verdana" w:hAnsi="Verdana" w:cs="Helvetica"/>
                <w:sz w:val="16"/>
                <w:szCs w:val="16"/>
              </w:rPr>
              <w:t xml:space="preserve">• CPI +1% in any year; or </w:t>
            </w:r>
          </w:p>
          <w:p w14:paraId="2CDC1360"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 if the tenant’s rent exceeds the rent flexibility level, CPI in any year.</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9E26934"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3DEACFA6" w14:textId="77777777" w:rsidR="00CF3535" w:rsidRPr="00B02749" w:rsidRDefault="00CF3535" w:rsidP="00CF3535">
            <w:pPr>
              <w:rPr>
                <w:rFonts w:ascii="Verdana" w:hAnsi="Verdana"/>
                <w:sz w:val="16"/>
                <w:szCs w:val="16"/>
              </w:rPr>
            </w:pPr>
          </w:p>
          <w:p w14:paraId="742CF263" w14:textId="77777777" w:rsidR="00CF3535" w:rsidRPr="00B02749" w:rsidRDefault="00CF3535" w:rsidP="00CF3535">
            <w:pPr>
              <w:rPr>
                <w:rFonts w:ascii="Verdana" w:hAnsi="Verdana"/>
                <w:sz w:val="16"/>
                <w:szCs w:val="16"/>
              </w:rPr>
            </w:pPr>
          </w:p>
          <w:p w14:paraId="7B5BAD0F"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070B0446" w14:textId="77777777" w:rsidR="00CF3535" w:rsidRPr="00B02749" w:rsidRDefault="00CF3535" w:rsidP="00CF3535">
            <w:pPr>
              <w:pStyle w:val="ListParagraph"/>
              <w:numPr>
                <w:ilvl w:val="0"/>
                <w:numId w:val="3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4CAFB397" w14:textId="77777777" w:rsidR="00CF3535" w:rsidRPr="00B02749" w:rsidRDefault="00CF3535" w:rsidP="00CF3535">
            <w:pPr>
              <w:pStyle w:val="ListParagraph"/>
              <w:numPr>
                <w:ilvl w:val="0"/>
                <w:numId w:val="3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0B89909C" w14:textId="77777777" w:rsidR="00CF3535" w:rsidRPr="00B02749" w:rsidRDefault="00CF3535" w:rsidP="00CF3535">
            <w:pPr>
              <w:pStyle w:val="ListParagraph"/>
              <w:numPr>
                <w:ilvl w:val="0"/>
                <w:numId w:val="3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377D619A" w14:textId="77777777" w:rsidR="00CF3535" w:rsidRPr="00B02749" w:rsidRDefault="00CF3535" w:rsidP="00CF3535">
            <w:pPr>
              <w:spacing w:line="276" w:lineRule="auto"/>
              <w:rPr>
                <w:rFonts w:ascii="Verdana" w:hAnsi="Verdana"/>
                <w:bCs/>
                <w:sz w:val="16"/>
                <w:szCs w:val="16"/>
              </w:rPr>
            </w:pPr>
          </w:p>
          <w:p w14:paraId="60161BDF" w14:textId="77777777" w:rsidR="00CF3535" w:rsidRPr="00B02749" w:rsidRDefault="00CF3535" w:rsidP="00CF3535">
            <w:pPr>
              <w:spacing w:line="276" w:lineRule="auto"/>
              <w:rPr>
                <w:rFonts w:ascii="Verdana" w:hAnsi="Verdana"/>
                <w:b/>
                <w:sz w:val="16"/>
                <w:szCs w:val="16"/>
              </w:rPr>
            </w:pPr>
          </w:p>
          <w:p w14:paraId="4B382C6D"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178D5080" w14:textId="77777777" w:rsidR="00CF3535" w:rsidRPr="00655F56" w:rsidRDefault="00CF3535" w:rsidP="006B5967">
            <w:pPr>
              <w:rPr>
                <w:rFonts w:ascii="Verdana" w:hAnsi="Verdana"/>
                <w:sz w:val="16"/>
                <w:szCs w:val="16"/>
              </w:rPr>
            </w:pPr>
          </w:p>
        </w:tc>
      </w:tr>
      <w:tr w:rsidR="00FF6807" w:rsidRPr="00261DC9" w14:paraId="346E22B3" w14:textId="77777777" w:rsidTr="00CF3535">
        <w:trPr>
          <w:trHeight w:val="361"/>
        </w:trPr>
        <w:tc>
          <w:tcPr>
            <w:tcW w:w="15446"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6A6A6" w:themeFill="background1" w:themeFillShade="A6"/>
          </w:tcPr>
          <w:p w14:paraId="35B1D8A7" w14:textId="77777777" w:rsidR="00FF6807" w:rsidRPr="008D2FA6" w:rsidRDefault="00FF6807" w:rsidP="006B5967">
            <w:pPr>
              <w:pStyle w:val="Default"/>
              <w:rPr>
                <w:rFonts w:ascii="Verdana" w:hAnsi="Verdana" w:cs="Helvetica"/>
                <w:b/>
                <w:sz w:val="20"/>
                <w:szCs w:val="16"/>
              </w:rPr>
            </w:pPr>
            <w:r w:rsidRPr="008D2FA6">
              <w:rPr>
                <w:rFonts w:ascii="Verdana" w:hAnsi="Verdana" w:cs="Helvetica"/>
                <w:b/>
                <w:sz w:val="20"/>
                <w:szCs w:val="16"/>
              </w:rPr>
              <w:t xml:space="preserve">Fair rent </w:t>
            </w:r>
          </w:p>
          <w:p w14:paraId="02D159C9" w14:textId="77777777" w:rsidR="00FF6807" w:rsidRPr="00F636CC" w:rsidRDefault="00FF6807" w:rsidP="006B5967">
            <w:pPr>
              <w:rPr>
                <w:rFonts w:ascii="Verdana" w:hAnsi="Verdana"/>
                <w:sz w:val="16"/>
                <w:szCs w:val="16"/>
              </w:rPr>
            </w:pPr>
          </w:p>
        </w:tc>
      </w:tr>
      <w:tr w:rsidR="00CF3535" w:rsidRPr="00261DC9" w14:paraId="40C524FC" w14:textId="77777777" w:rsidTr="0001036D">
        <w:trPr>
          <w:trHeight w:val="1177"/>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00360D18" w14:textId="77777777" w:rsidR="00CF3535" w:rsidRDefault="00CF3535" w:rsidP="006B5967">
            <w:pPr>
              <w:rPr>
                <w:rFonts w:ascii="Verdana" w:hAnsi="Verdana"/>
                <w:sz w:val="16"/>
                <w:szCs w:val="16"/>
              </w:rPr>
            </w:pPr>
            <w:r>
              <w:rPr>
                <w:rFonts w:ascii="Verdana" w:hAnsi="Verdana"/>
                <w:sz w:val="16"/>
                <w:szCs w:val="16"/>
              </w:rPr>
              <w:lastRenderedPageBreak/>
              <w:t>3.8</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34A0F097"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In the case of tenancies subject to fair rent protection, the maximum weekly rent is the lower of the fair rent set by the Rent Officer, and formula rent (subject to both the rent caps and the rent flexibility level).</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EB94B7A"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05916AD4" w14:textId="77777777" w:rsidR="00CF3535" w:rsidRPr="00B02749" w:rsidRDefault="00CF3535" w:rsidP="00CF3535">
            <w:pPr>
              <w:rPr>
                <w:rFonts w:ascii="Verdana" w:hAnsi="Verdana"/>
                <w:sz w:val="16"/>
                <w:szCs w:val="16"/>
              </w:rPr>
            </w:pPr>
          </w:p>
          <w:p w14:paraId="36BC02E2" w14:textId="77777777" w:rsidR="00CF3535" w:rsidRPr="00B02749" w:rsidRDefault="00CF3535" w:rsidP="00CF3535">
            <w:pPr>
              <w:rPr>
                <w:rFonts w:ascii="Verdana" w:hAnsi="Verdana"/>
                <w:sz w:val="16"/>
                <w:szCs w:val="16"/>
              </w:rPr>
            </w:pPr>
          </w:p>
          <w:p w14:paraId="65C776F5"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302B938F" w14:textId="77777777" w:rsidR="00CF3535" w:rsidRPr="00B02749" w:rsidRDefault="00CF3535" w:rsidP="00CF3535">
            <w:pPr>
              <w:pStyle w:val="ListParagraph"/>
              <w:numPr>
                <w:ilvl w:val="0"/>
                <w:numId w:val="4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2C8A6C6" w14:textId="77777777" w:rsidR="00CF3535" w:rsidRPr="00B02749" w:rsidRDefault="00CF3535" w:rsidP="00CF3535">
            <w:pPr>
              <w:pStyle w:val="ListParagraph"/>
              <w:numPr>
                <w:ilvl w:val="0"/>
                <w:numId w:val="4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36B2BAE5" w14:textId="77777777" w:rsidR="00CF3535" w:rsidRPr="00B02749" w:rsidRDefault="00CF3535" w:rsidP="00CF3535">
            <w:pPr>
              <w:pStyle w:val="ListParagraph"/>
              <w:numPr>
                <w:ilvl w:val="0"/>
                <w:numId w:val="40"/>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01B8A92E" w14:textId="77777777" w:rsidR="00CF3535" w:rsidRPr="00B02749" w:rsidRDefault="00CF3535" w:rsidP="00CF3535">
            <w:pPr>
              <w:spacing w:line="276" w:lineRule="auto"/>
              <w:rPr>
                <w:rFonts w:ascii="Verdana" w:hAnsi="Verdana"/>
                <w:bCs/>
                <w:sz w:val="16"/>
                <w:szCs w:val="16"/>
              </w:rPr>
            </w:pPr>
          </w:p>
          <w:p w14:paraId="243EEFDA" w14:textId="77777777" w:rsidR="00CF3535" w:rsidRPr="00B02749" w:rsidRDefault="00CF3535" w:rsidP="00CF3535">
            <w:pPr>
              <w:spacing w:line="276" w:lineRule="auto"/>
              <w:rPr>
                <w:rFonts w:ascii="Verdana" w:hAnsi="Verdana"/>
                <w:b/>
                <w:sz w:val="16"/>
                <w:szCs w:val="16"/>
              </w:rPr>
            </w:pPr>
          </w:p>
          <w:p w14:paraId="1D844322"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6DC1D995" w14:textId="1A79AA32" w:rsidR="00CF3535" w:rsidRPr="00655F56" w:rsidRDefault="00CF3535" w:rsidP="006B5967">
            <w:pPr>
              <w:rPr>
                <w:rFonts w:ascii="Verdana" w:hAnsi="Verdana"/>
                <w:sz w:val="16"/>
                <w:szCs w:val="16"/>
              </w:rPr>
            </w:pPr>
          </w:p>
        </w:tc>
      </w:tr>
      <w:tr w:rsidR="00CF3535" w:rsidRPr="00261DC9" w14:paraId="6A79537D" w14:textId="77777777" w:rsidTr="007B6785">
        <w:trPr>
          <w:trHeight w:val="1177"/>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6628BB20" w14:textId="77777777" w:rsidR="00CF3535" w:rsidRDefault="00CF3535" w:rsidP="006B5967">
            <w:pPr>
              <w:rPr>
                <w:rFonts w:ascii="Verdana" w:hAnsi="Verdana"/>
                <w:sz w:val="16"/>
                <w:szCs w:val="16"/>
              </w:rPr>
            </w:pPr>
            <w:r>
              <w:rPr>
                <w:rFonts w:ascii="Verdana" w:hAnsi="Verdana"/>
                <w:sz w:val="16"/>
                <w:szCs w:val="16"/>
              </w:rPr>
              <w:t>3.9</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439FA3D3"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Registered providers may not increase the rent of a tenant with fair rent protection by more than CPI +1% in any year (even if the tenant’s rent is below the formula rent level and the maximum fair rent is increased by more than that amount).</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1D4AB7"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54C81B95" w14:textId="77777777" w:rsidR="00CF3535" w:rsidRPr="00B02749" w:rsidRDefault="00CF3535" w:rsidP="00CF3535">
            <w:pPr>
              <w:rPr>
                <w:rFonts w:ascii="Verdana" w:hAnsi="Verdana"/>
                <w:sz w:val="16"/>
                <w:szCs w:val="16"/>
              </w:rPr>
            </w:pPr>
          </w:p>
          <w:p w14:paraId="1BD6F973" w14:textId="77777777" w:rsidR="00CF3535" w:rsidRPr="00B02749" w:rsidRDefault="00CF3535" w:rsidP="00CF3535">
            <w:pPr>
              <w:rPr>
                <w:rFonts w:ascii="Verdana" w:hAnsi="Verdana"/>
                <w:sz w:val="16"/>
                <w:szCs w:val="16"/>
              </w:rPr>
            </w:pPr>
          </w:p>
          <w:p w14:paraId="212C6DD9"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07ED2BB" w14:textId="77777777" w:rsidR="00CF3535" w:rsidRPr="00B02749" w:rsidRDefault="00CF3535" w:rsidP="00CF3535">
            <w:pPr>
              <w:pStyle w:val="ListParagraph"/>
              <w:numPr>
                <w:ilvl w:val="0"/>
                <w:numId w:val="4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5C6732EA" w14:textId="77777777" w:rsidR="00CF3535" w:rsidRPr="00B02749" w:rsidRDefault="00CF3535" w:rsidP="00CF3535">
            <w:pPr>
              <w:pStyle w:val="ListParagraph"/>
              <w:numPr>
                <w:ilvl w:val="0"/>
                <w:numId w:val="4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7E1912D2" w14:textId="77777777" w:rsidR="00CF3535" w:rsidRPr="00B02749" w:rsidRDefault="00CF3535" w:rsidP="00CF3535">
            <w:pPr>
              <w:pStyle w:val="ListParagraph"/>
              <w:numPr>
                <w:ilvl w:val="0"/>
                <w:numId w:val="4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22F3FDFF" w14:textId="77777777" w:rsidR="00CF3535" w:rsidRPr="00B02749" w:rsidRDefault="00CF3535" w:rsidP="00CF3535">
            <w:pPr>
              <w:spacing w:line="276" w:lineRule="auto"/>
              <w:rPr>
                <w:rFonts w:ascii="Verdana" w:hAnsi="Verdana"/>
                <w:bCs/>
                <w:sz w:val="16"/>
                <w:szCs w:val="16"/>
              </w:rPr>
            </w:pPr>
          </w:p>
          <w:p w14:paraId="0563F549" w14:textId="77777777" w:rsidR="00CF3535" w:rsidRPr="00B02749" w:rsidRDefault="00CF3535" w:rsidP="00CF3535">
            <w:pPr>
              <w:spacing w:line="276" w:lineRule="auto"/>
              <w:rPr>
                <w:rFonts w:ascii="Verdana" w:hAnsi="Verdana"/>
                <w:b/>
                <w:sz w:val="16"/>
                <w:szCs w:val="16"/>
              </w:rPr>
            </w:pPr>
          </w:p>
          <w:p w14:paraId="66C5963B"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24E7C4E5" w14:textId="5C8A18D2" w:rsidR="00CF3535" w:rsidRPr="009229A7" w:rsidRDefault="00CF3535" w:rsidP="00CF3535">
            <w:pPr>
              <w:pStyle w:val="ListParagraph"/>
              <w:ind w:left="320"/>
              <w:rPr>
                <w:rFonts w:ascii="Verdana" w:hAnsi="Verdana"/>
                <w:sz w:val="16"/>
                <w:szCs w:val="16"/>
              </w:rPr>
            </w:pPr>
          </w:p>
        </w:tc>
      </w:tr>
      <w:tr w:rsidR="00FF6807" w:rsidRPr="00261DC9" w14:paraId="42E55EFE" w14:textId="77777777" w:rsidTr="00CF3535">
        <w:trPr>
          <w:trHeight w:val="523"/>
        </w:trPr>
        <w:tc>
          <w:tcPr>
            <w:tcW w:w="15446"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6A6A6" w:themeFill="background1" w:themeFillShade="A6"/>
          </w:tcPr>
          <w:p w14:paraId="4B84DB7E" w14:textId="77777777" w:rsidR="00FF6807" w:rsidRPr="008D2FA6" w:rsidRDefault="00FF6807" w:rsidP="006B5967">
            <w:pPr>
              <w:rPr>
                <w:rFonts w:ascii="Verdana" w:hAnsi="Verdana"/>
                <w:b/>
                <w:sz w:val="20"/>
                <w:szCs w:val="16"/>
              </w:rPr>
            </w:pPr>
            <w:r w:rsidRPr="008D2FA6">
              <w:rPr>
                <w:rFonts w:ascii="Verdana" w:hAnsi="Verdana" w:cs="Helvetica"/>
                <w:b/>
                <w:sz w:val="20"/>
                <w:szCs w:val="16"/>
              </w:rPr>
              <w:t xml:space="preserve">Affordable rent </w:t>
            </w:r>
          </w:p>
        </w:tc>
      </w:tr>
      <w:tr w:rsidR="00CF3535" w:rsidRPr="00261DC9" w14:paraId="25BE04D3" w14:textId="77777777" w:rsidTr="00D84881">
        <w:trPr>
          <w:trHeight w:val="1177"/>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747A1787" w14:textId="77777777" w:rsidR="00CF3535" w:rsidRDefault="00CF3535" w:rsidP="006B5967">
            <w:pPr>
              <w:rPr>
                <w:rFonts w:ascii="Verdana" w:hAnsi="Verdana"/>
                <w:sz w:val="16"/>
                <w:szCs w:val="16"/>
              </w:rPr>
            </w:pPr>
            <w:r>
              <w:rPr>
                <w:rFonts w:ascii="Verdana" w:hAnsi="Verdana"/>
                <w:sz w:val="16"/>
                <w:szCs w:val="16"/>
              </w:rPr>
              <w:t>3.10</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0AE58D68"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 xml:space="preserve">Affordable rent may only be charged where the property in question is provided by a: </w:t>
            </w:r>
          </w:p>
          <w:p w14:paraId="236E8FE5" w14:textId="77777777" w:rsidR="00CF3535" w:rsidRDefault="00CF3535" w:rsidP="006B5967">
            <w:pPr>
              <w:pStyle w:val="Default"/>
              <w:rPr>
                <w:rFonts w:ascii="Verdana" w:hAnsi="Verdana" w:cs="Helvetica"/>
                <w:sz w:val="16"/>
                <w:szCs w:val="16"/>
              </w:rPr>
            </w:pPr>
          </w:p>
          <w:p w14:paraId="6393181C"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 xml:space="preserve">a. registered provider pursuant to a housing supply delivery agreement between that provider and the Homes and Communities Agency (now known as Homes England) or the Greater London Authority and the accommodation is permitted by that agreement to be let at an affordable rent; or </w:t>
            </w:r>
          </w:p>
          <w:p w14:paraId="1D10D4CC" w14:textId="77777777" w:rsidR="00CF3535" w:rsidRDefault="00CF3535" w:rsidP="006B5967">
            <w:pPr>
              <w:pStyle w:val="Default"/>
              <w:rPr>
                <w:rFonts w:ascii="Verdana" w:hAnsi="Verdana" w:cs="Helvetica"/>
                <w:sz w:val="16"/>
                <w:szCs w:val="16"/>
              </w:rPr>
            </w:pPr>
          </w:p>
          <w:p w14:paraId="29C05BCB" w14:textId="77777777" w:rsidR="00CF3535" w:rsidRDefault="00CF3535" w:rsidP="006B5967">
            <w:pPr>
              <w:pStyle w:val="Default"/>
              <w:rPr>
                <w:rFonts w:ascii="Verdana" w:hAnsi="Verdana" w:cs="Helvetica"/>
                <w:sz w:val="16"/>
                <w:szCs w:val="16"/>
              </w:rPr>
            </w:pPr>
            <w:r w:rsidRPr="00FA798A">
              <w:rPr>
                <w:rFonts w:ascii="Verdana" w:hAnsi="Verdana" w:cs="Helvetica"/>
                <w:sz w:val="16"/>
                <w:szCs w:val="16"/>
              </w:rPr>
              <w:t xml:space="preserve">b. registered provider pursuant to an agreement between a local authority and the Secretary of State and the accommodation is permitted by that agreement to be let at an affordable rent; or </w:t>
            </w:r>
          </w:p>
          <w:p w14:paraId="538E51BD" w14:textId="77777777" w:rsidR="00CF3535" w:rsidRDefault="00CF3535" w:rsidP="006B5967">
            <w:pPr>
              <w:pStyle w:val="Default"/>
              <w:rPr>
                <w:rFonts w:ascii="Verdana" w:hAnsi="Verdana" w:cs="Helvetica"/>
                <w:sz w:val="16"/>
                <w:szCs w:val="16"/>
              </w:rPr>
            </w:pPr>
          </w:p>
          <w:p w14:paraId="15E29515" w14:textId="77777777" w:rsidR="00CF3535" w:rsidRPr="00FA798A" w:rsidRDefault="00CF3535" w:rsidP="006B5967">
            <w:pPr>
              <w:pStyle w:val="Default"/>
              <w:rPr>
                <w:rFonts w:ascii="Verdana" w:hAnsi="Verdana" w:cs="Helvetica"/>
                <w:sz w:val="16"/>
                <w:szCs w:val="16"/>
              </w:rPr>
            </w:pPr>
            <w:r>
              <w:rPr>
                <w:rFonts w:ascii="Verdana" w:hAnsi="Verdana" w:cs="Helvetica"/>
                <w:sz w:val="16"/>
                <w:szCs w:val="16"/>
              </w:rPr>
              <w:t xml:space="preserve">c. </w:t>
            </w:r>
            <w:r w:rsidRPr="00FA798A">
              <w:rPr>
                <w:rFonts w:ascii="Verdana" w:hAnsi="Verdana" w:cs="Helvetica"/>
                <w:sz w:val="16"/>
                <w:szCs w:val="16"/>
              </w:rPr>
              <w:t>local authority, and the Secretary of State, Homes England or the Greater London Authority has agreed that it is appropriate for the accommodation to be let at an affordable rent.</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FCB9D4"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0C71CB3E" w14:textId="77777777" w:rsidR="00CF3535" w:rsidRPr="00B02749" w:rsidRDefault="00CF3535" w:rsidP="00CF3535">
            <w:pPr>
              <w:rPr>
                <w:rFonts w:ascii="Verdana" w:hAnsi="Verdana"/>
                <w:sz w:val="16"/>
                <w:szCs w:val="16"/>
              </w:rPr>
            </w:pPr>
          </w:p>
          <w:p w14:paraId="048EB91B" w14:textId="77777777" w:rsidR="00CF3535" w:rsidRPr="00B02749" w:rsidRDefault="00CF3535" w:rsidP="00CF3535">
            <w:pPr>
              <w:rPr>
                <w:rFonts w:ascii="Verdana" w:hAnsi="Verdana"/>
                <w:sz w:val="16"/>
                <w:szCs w:val="16"/>
              </w:rPr>
            </w:pPr>
          </w:p>
          <w:p w14:paraId="72600165"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68226F8F" w14:textId="77777777" w:rsidR="00CF3535" w:rsidRPr="00B02749" w:rsidRDefault="00CF3535" w:rsidP="00CF3535">
            <w:pPr>
              <w:pStyle w:val="ListParagraph"/>
              <w:numPr>
                <w:ilvl w:val="0"/>
                <w:numId w:val="4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0C1EA222" w14:textId="77777777" w:rsidR="00CF3535" w:rsidRPr="00B02749" w:rsidRDefault="00CF3535" w:rsidP="00CF3535">
            <w:pPr>
              <w:pStyle w:val="ListParagraph"/>
              <w:numPr>
                <w:ilvl w:val="0"/>
                <w:numId w:val="4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0E3EBC62" w14:textId="77777777" w:rsidR="00CF3535" w:rsidRPr="00B02749" w:rsidRDefault="00CF3535" w:rsidP="00CF3535">
            <w:pPr>
              <w:pStyle w:val="ListParagraph"/>
              <w:numPr>
                <w:ilvl w:val="0"/>
                <w:numId w:val="42"/>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17CDC0C3" w14:textId="77777777" w:rsidR="00CF3535" w:rsidRPr="00B02749" w:rsidRDefault="00CF3535" w:rsidP="00CF3535">
            <w:pPr>
              <w:spacing w:line="276" w:lineRule="auto"/>
              <w:rPr>
                <w:rFonts w:ascii="Verdana" w:hAnsi="Verdana"/>
                <w:bCs/>
                <w:sz w:val="16"/>
                <w:szCs w:val="16"/>
              </w:rPr>
            </w:pPr>
          </w:p>
          <w:p w14:paraId="4B68C56B" w14:textId="77777777" w:rsidR="00CF3535" w:rsidRPr="00B02749" w:rsidRDefault="00CF3535" w:rsidP="00CF3535">
            <w:pPr>
              <w:spacing w:line="276" w:lineRule="auto"/>
              <w:rPr>
                <w:rFonts w:ascii="Verdana" w:hAnsi="Verdana"/>
                <w:b/>
                <w:sz w:val="16"/>
                <w:szCs w:val="16"/>
              </w:rPr>
            </w:pPr>
          </w:p>
          <w:p w14:paraId="0D6A65C7"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12E99321" w14:textId="0B1B9348" w:rsidR="00CF3535" w:rsidRPr="00CF3535" w:rsidRDefault="00CF3535" w:rsidP="00CF3535">
            <w:pPr>
              <w:rPr>
                <w:rFonts w:ascii="Verdana" w:hAnsi="Verdana"/>
                <w:sz w:val="16"/>
                <w:szCs w:val="16"/>
              </w:rPr>
            </w:pPr>
          </w:p>
        </w:tc>
      </w:tr>
      <w:tr w:rsidR="00CF3535" w:rsidRPr="00261DC9" w14:paraId="1BE7201B" w14:textId="77777777" w:rsidTr="000517A5">
        <w:trPr>
          <w:trHeight w:val="1177"/>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05CBD019" w14:textId="77777777" w:rsidR="00CF3535" w:rsidRDefault="00CF3535" w:rsidP="006B5967">
            <w:pPr>
              <w:rPr>
                <w:rFonts w:ascii="Verdana" w:hAnsi="Verdana"/>
                <w:sz w:val="16"/>
                <w:szCs w:val="16"/>
              </w:rPr>
            </w:pPr>
            <w:r>
              <w:rPr>
                <w:rFonts w:ascii="Verdana" w:hAnsi="Verdana"/>
                <w:sz w:val="16"/>
                <w:szCs w:val="16"/>
              </w:rPr>
              <w:lastRenderedPageBreak/>
              <w:t>3.11</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76FB0075"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In addition to the above, Affordable Rent may be charged where the property has been acquired by a registered provider and was affordable rent housing when it was acquired.</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504543D"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42209482" w14:textId="77777777" w:rsidR="00CF3535" w:rsidRPr="00B02749" w:rsidRDefault="00CF3535" w:rsidP="00CF3535">
            <w:pPr>
              <w:rPr>
                <w:rFonts w:ascii="Verdana" w:hAnsi="Verdana"/>
                <w:sz w:val="16"/>
                <w:szCs w:val="16"/>
              </w:rPr>
            </w:pPr>
          </w:p>
          <w:p w14:paraId="76EE0BE0" w14:textId="77777777" w:rsidR="00CF3535" w:rsidRPr="00B02749" w:rsidRDefault="00CF3535" w:rsidP="00CF3535">
            <w:pPr>
              <w:rPr>
                <w:rFonts w:ascii="Verdana" w:hAnsi="Verdana"/>
                <w:sz w:val="16"/>
                <w:szCs w:val="16"/>
              </w:rPr>
            </w:pPr>
          </w:p>
          <w:p w14:paraId="254A899C"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378DFB9E" w14:textId="77777777" w:rsidR="00CF3535" w:rsidRPr="00B02749" w:rsidRDefault="00CF3535" w:rsidP="00CF3535">
            <w:pPr>
              <w:pStyle w:val="ListParagraph"/>
              <w:numPr>
                <w:ilvl w:val="0"/>
                <w:numId w:val="4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5CFA9CFC" w14:textId="77777777" w:rsidR="00CF3535" w:rsidRPr="00B02749" w:rsidRDefault="00CF3535" w:rsidP="00CF3535">
            <w:pPr>
              <w:pStyle w:val="ListParagraph"/>
              <w:numPr>
                <w:ilvl w:val="0"/>
                <w:numId w:val="4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15655F6B" w14:textId="77777777" w:rsidR="00CF3535" w:rsidRPr="00B02749" w:rsidRDefault="00CF3535" w:rsidP="00CF3535">
            <w:pPr>
              <w:pStyle w:val="ListParagraph"/>
              <w:numPr>
                <w:ilvl w:val="0"/>
                <w:numId w:val="43"/>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6D0A469D" w14:textId="77777777" w:rsidR="00CF3535" w:rsidRPr="00B02749" w:rsidRDefault="00CF3535" w:rsidP="00CF3535">
            <w:pPr>
              <w:spacing w:line="276" w:lineRule="auto"/>
              <w:rPr>
                <w:rFonts w:ascii="Verdana" w:hAnsi="Verdana"/>
                <w:bCs/>
                <w:sz w:val="16"/>
                <w:szCs w:val="16"/>
              </w:rPr>
            </w:pPr>
          </w:p>
          <w:p w14:paraId="3E43DE76" w14:textId="77777777" w:rsidR="00CF3535" w:rsidRPr="00B02749" w:rsidRDefault="00CF3535" w:rsidP="00CF3535">
            <w:pPr>
              <w:spacing w:line="276" w:lineRule="auto"/>
              <w:rPr>
                <w:rFonts w:ascii="Verdana" w:hAnsi="Verdana"/>
                <w:b/>
                <w:sz w:val="16"/>
                <w:szCs w:val="16"/>
              </w:rPr>
            </w:pPr>
          </w:p>
          <w:p w14:paraId="4CBA1E39"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1BB222A0" w14:textId="3BEDDDBD" w:rsidR="00CF3535" w:rsidRPr="00F636CC" w:rsidRDefault="00CF3535" w:rsidP="006B5967">
            <w:pPr>
              <w:rPr>
                <w:rFonts w:ascii="Verdana" w:hAnsi="Verdana"/>
                <w:b/>
                <w:sz w:val="16"/>
                <w:szCs w:val="16"/>
              </w:rPr>
            </w:pPr>
          </w:p>
        </w:tc>
      </w:tr>
      <w:tr w:rsidR="00CF3535" w:rsidRPr="00261DC9" w14:paraId="38384C2A" w14:textId="77777777" w:rsidTr="00A77ACA">
        <w:trPr>
          <w:trHeight w:val="503"/>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0CC771D5" w14:textId="77777777" w:rsidR="00CF3535" w:rsidRDefault="00CF3535" w:rsidP="006B5967">
            <w:pPr>
              <w:rPr>
                <w:rFonts w:ascii="Verdana" w:hAnsi="Verdana"/>
                <w:sz w:val="16"/>
                <w:szCs w:val="16"/>
              </w:rPr>
            </w:pPr>
            <w:r>
              <w:rPr>
                <w:rFonts w:ascii="Verdana" w:hAnsi="Verdana"/>
                <w:sz w:val="16"/>
                <w:szCs w:val="16"/>
              </w:rPr>
              <w:t>3.12</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5A66B52F"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Where Affordable Rent is being charged, the maximum rent inclusive of service charge for a new tenant under a new tenancy is 80% of the market rent for the tenant’s accommodation, subject to 3.13 and 3.14 below.</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60EE063"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43C307F0" w14:textId="77777777" w:rsidR="00CF3535" w:rsidRPr="00B02749" w:rsidRDefault="00CF3535" w:rsidP="00CF3535">
            <w:pPr>
              <w:rPr>
                <w:rFonts w:ascii="Verdana" w:hAnsi="Verdana"/>
                <w:sz w:val="16"/>
                <w:szCs w:val="16"/>
              </w:rPr>
            </w:pPr>
          </w:p>
          <w:p w14:paraId="2C145117" w14:textId="77777777" w:rsidR="00CF3535" w:rsidRPr="00B02749" w:rsidRDefault="00CF3535" w:rsidP="00CF3535">
            <w:pPr>
              <w:rPr>
                <w:rFonts w:ascii="Verdana" w:hAnsi="Verdana"/>
                <w:sz w:val="16"/>
                <w:szCs w:val="16"/>
              </w:rPr>
            </w:pPr>
          </w:p>
          <w:p w14:paraId="22779D19"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61D29555" w14:textId="77777777" w:rsidR="00CF3535" w:rsidRPr="00B02749" w:rsidRDefault="00CF3535" w:rsidP="00CF3535">
            <w:pPr>
              <w:pStyle w:val="ListParagraph"/>
              <w:numPr>
                <w:ilvl w:val="0"/>
                <w:numId w:val="4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66B7C222" w14:textId="77777777" w:rsidR="00CF3535" w:rsidRPr="00B02749" w:rsidRDefault="00CF3535" w:rsidP="00CF3535">
            <w:pPr>
              <w:pStyle w:val="ListParagraph"/>
              <w:numPr>
                <w:ilvl w:val="0"/>
                <w:numId w:val="4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329F6D8A" w14:textId="77777777" w:rsidR="00CF3535" w:rsidRPr="00B02749" w:rsidRDefault="00CF3535" w:rsidP="00CF3535">
            <w:pPr>
              <w:pStyle w:val="ListParagraph"/>
              <w:numPr>
                <w:ilvl w:val="0"/>
                <w:numId w:val="4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293A2325" w14:textId="77777777" w:rsidR="00CF3535" w:rsidRPr="00B02749" w:rsidRDefault="00CF3535" w:rsidP="00CF3535">
            <w:pPr>
              <w:spacing w:line="276" w:lineRule="auto"/>
              <w:rPr>
                <w:rFonts w:ascii="Verdana" w:hAnsi="Verdana"/>
                <w:bCs/>
                <w:sz w:val="16"/>
                <w:szCs w:val="16"/>
              </w:rPr>
            </w:pPr>
          </w:p>
          <w:p w14:paraId="36631E61" w14:textId="77777777" w:rsidR="00CF3535" w:rsidRPr="00B02749" w:rsidRDefault="00CF3535" w:rsidP="00CF3535">
            <w:pPr>
              <w:spacing w:line="276" w:lineRule="auto"/>
              <w:rPr>
                <w:rFonts w:ascii="Verdana" w:hAnsi="Verdana"/>
                <w:b/>
                <w:sz w:val="16"/>
                <w:szCs w:val="16"/>
              </w:rPr>
            </w:pPr>
          </w:p>
          <w:p w14:paraId="13914436"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0165C4B7" w14:textId="22F89C21" w:rsidR="00CF3535" w:rsidRPr="00CD108B" w:rsidRDefault="00CF3535" w:rsidP="006B5967">
            <w:pPr>
              <w:rPr>
                <w:rFonts w:ascii="Verdana" w:hAnsi="Verdana"/>
                <w:sz w:val="16"/>
                <w:szCs w:val="16"/>
              </w:rPr>
            </w:pPr>
          </w:p>
        </w:tc>
      </w:tr>
      <w:tr w:rsidR="00CF3535" w:rsidRPr="00261DC9" w14:paraId="1BC05B94" w14:textId="77777777" w:rsidTr="00591720">
        <w:trPr>
          <w:trHeight w:val="1177"/>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62CEBD20" w14:textId="77777777" w:rsidR="00CF3535" w:rsidRDefault="00CF3535" w:rsidP="006B5967">
            <w:pPr>
              <w:rPr>
                <w:rFonts w:ascii="Verdana" w:hAnsi="Verdana"/>
                <w:sz w:val="16"/>
                <w:szCs w:val="16"/>
              </w:rPr>
            </w:pPr>
            <w:r>
              <w:rPr>
                <w:rFonts w:ascii="Verdana" w:hAnsi="Verdana"/>
                <w:sz w:val="16"/>
                <w:szCs w:val="16"/>
              </w:rPr>
              <w:t>3.13</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303A6013"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If the formula rent is higher than 80% of the weekly market rent (inclusive of service charges) for the tenant’s accommodation, the maximum weekly rent is formula rent which is to be set as in paragraphs 3.3-3.6 above and would be exclusive of service charges.</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911B978"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8050B8F" w14:textId="77777777" w:rsidR="00CF3535" w:rsidRPr="00B02749" w:rsidRDefault="00CF3535" w:rsidP="00CF3535">
            <w:pPr>
              <w:rPr>
                <w:rFonts w:ascii="Verdana" w:hAnsi="Verdana"/>
                <w:sz w:val="16"/>
                <w:szCs w:val="16"/>
              </w:rPr>
            </w:pPr>
          </w:p>
          <w:p w14:paraId="1499340F" w14:textId="77777777" w:rsidR="00CF3535" w:rsidRPr="00B02749" w:rsidRDefault="00CF3535" w:rsidP="00CF3535">
            <w:pPr>
              <w:rPr>
                <w:rFonts w:ascii="Verdana" w:hAnsi="Verdana"/>
                <w:sz w:val="16"/>
                <w:szCs w:val="16"/>
              </w:rPr>
            </w:pPr>
          </w:p>
          <w:p w14:paraId="546EE563"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3D62DACF" w14:textId="77777777" w:rsidR="00CF3535" w:rsidRPr="00B02749" w:rsidRDefault="00CF3535" w:rsidP="00CF3535">
            <w:pPr>
              <w:pStyle w:val="ListParagraph"/>
              <w:numPr>
                <w:ilvl w:val="0"/>
                <w:numId w:val="4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4711ADB" w14:textId="77777777" w:rsidR="00CF3535" w:rsidRPr="00B02749" w:rsidRDefault="00CF3535" w:rsidP="00CF3535">
            <w:pPr>
              <w:pStyle w:val="ListParagraph"/>
              <w:numPr>
                <w:ilvl w:val="0"/>
                <w:numId w:val="4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52200D5D" w14:textId="77777777" w:rsidR="00CF3535" w:rsidRPr="00B02749" w:rsidRDefault="00CF3535" w:rsidP="00CF3535">
            <w:pPr>
              <w:pStyle w:val="ListParagraph"/>
              <w:numPr>
                <w:ilvl w:val="0"/>
                <w:numId w:val="4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32AD7F67" w14:textId="77777777" w:rsidR="00CF3535" w:rsidRPr="00B02749" w:rsidRDefault="00CF3535" w:rsidP="00CF3535">
            <w:pPr>
              <w:spacing w:line="276" w:lineRule="auto"/>
              <w:rPr>
                <w:rFonts w:ascii="Verdana" w:hAnsi="Verdana"/>
                <w:bCs/>
                <w:sz w:val="16"/>
                <w:szCs w:val="16"/>
              </w:rPr>
            </w:pPr>
          </w:p>
          <w:p w14:paraId="44FD6B5C" w14:textId="77777777" w:rsidR="00CF3535" w:rsidRPr="00B02749" w:rsidRDefault="00CF3535" w:rsidP="00CF3535">
            <w:pPr>
              <w:spacing w:line="276" w:lineRule="auto"/>
              <w:rPr>
                <w:rFonts w:ascii="Verdana" w:hAnsi="Verdana"/>
                <w:b/>
                <w:sz w:val="16"/>
                <w:szCs w:val="16"/>
              </w:rPr>
            </w:pPr>
          </w:p>
          <w:p w14:paraId="490C7333"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57F6379D" w14:textId="77FBBF01" w:rsidR="00CF3535" w:rsidRPr="00F636CC" w:rsidRDefault="00CF3535" w:rsidP="006B5967">
            <w:pPr>
              <w:rPr>
                <w:rFonts w:ascii="Verdana" w:hAnsi="Verdana"/>
                <w:sz w:val="16"/>
                <w:szCs w:val="16"/>
              </w:rPr>
            </w:pPr>
          </w:p>
        </w:tc>
      </w:tr>
      <w:tr w:rsidR="00CF3535" w:rsidRPr="00261DC9" w14:paraId="60DABDC5" w14:textId="77777777" w:rsidTr="004F50BC">
        <w:trPr>
          <w:trHeight w:val="386"/>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3D85F291" w14:textId="77777777" w:rsidR="00CF3535" w:rsidRDefault="00CF3535" w:rsidP="006B5967">
            <w:pPr>
              <w:rPr>
                <w:rFonts w:ascii="Verdana" w:hAnsi="Verdana"/>
                <w:sz w:val="16"/>
                <w:szCs w:val="16"/>
              </w:rPr>
            </w:pPr>
            <w:r>
              <w:rPr>
                <w:rFonts w:ascii="Verdana" w:hAnsi="Verdana"/>
                <w:sz w:val="16"/>
                <w:szCs w:val="16"/>
              </w:rPr>
              <w:t>3.14</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56B7682F"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The rent of an existing affordable rent tenant (including where they have a new tenancy) may not be increased by more than CPI +1% in any year, subject to 3.2 above. ‘Existing tenant’ in this context means an existing tenant of the specific property concerned. For the avoidance of doubt, the revised rent on re-letting to an existing tenant may only be re-based to 80% of current market value where the resulting rent would be no more than the rent arrived at by a CPI+1% increase.</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F58F57B"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72CE591B" w14:textId="77777777" w:rsidR="00CF3535" w:rsidRPr="00B02749" w:rsidRDefault="00CF3535" w:rsidP="00CF3535">
            <w:pPr>
              <w:rPr>
                <w:rFonts w:ascii="Verdana" w:hAnsi="Verdana"/>
                <w:sz w:val="16"/>
                <w:szCs w:val="16"/>
              </w:rPr>
            </w:pPr>
          </w:p>
          <w:p w14:paraId="713D5073" w14:textId="77777777" w:rsidR="00CF3535" w:rsidRPr="00B02749" w:rsidRDefault="00CF3535" w:rsidP="00CF3535">
            <w:pPr>
              <w:rPr>
                <w:rFonts w:ascii="Verdana" w:hAnsi="Verdana"/>
                <w:sz w:val="16"/>
                <w:szCs w:val="16"/>
              </w:rPr>
            </w:pPr>
          </w:p>
          <w:p w14:paraId="58443E7E"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4D1E4535" w14:textId="77777777" w:rsidR="00CF3535" w:rsidRPr="00B02749" w:rsidRDefault="00CF3535" w:rsidP="00CF3535">
            <w:pPr>
              <w:pStyle w:val="ListParagraph"/>
              <w:numPr>
                <w:ilvl w:val="0"/>
                <w:numId w:val="4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1D51EF80" w14:textId="77777777" w:rsidR="00CF3535" w:rsidRPr="00B02749" w:rsidRDefault="00CF3535" w:rsidP="00CF3535">
            <w:pPr>
              <w:pStyle w:val="ListParagraph"/>
              <w:numPr>
                <w:ilvl w:val="0"/>
                <w:numId w:val="4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6B5DD4E5" w14:textId="77777777" w:rsidR="00CF3535" w:rsidRPr="00B02749" w:rsidRDefault="00CF3535" w:rsidP="00CF3535">
            <w:pPr>
              <w:pStyle w:val="ListParagraph"/>
              <w:numPr>
                <w:ilvl w:val="0"/>
                <w:numId w:val="46"/>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09BD3567" w14:textId="77777777" w:rsidR="00CF3535" w:rsidRPr="00B02749" w:rsidRDefault="00CF3535" w:rsidP="00CF3535">
            <w:pPr>
              <w:spacing w:line="276" w:lineRule="auto"/>
              <w:rPr>
                <w:rFonts w:ascii="Verdana" w:hAnsi="Verdana"/>
                <w:bCs/>
                <w:sz w:val="16"/>
                <w:szCs w:val="16"/>
              </w:rPr>
            </w:pPr>
          </w:p>
          <w:p w14:paraId="3AB66C96" w14:textId="77777777" w:rsidR="00CF3535" w:rsidRPr="00B02749" w:rsidRDefault="00CF3535" w:rsidP="00CF3535">
            <w:pPr>
              <w:spacing w:line="276" w:lineRule="auto"/>
              <w:rPr>
                <w:rFonts w:ascii="Verdana" w:hAnsi="Verdana"/>
                <w:b/>
                <w:sz w:val="16"/>
                <w:szCs w:val="16"/>
              </w:rPr>
            </w:pPr>
          </w:p>
          <w:p w14:paraId="03708ADE"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lastRenderedPageBreak/>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582D6724" w14:textId="7486EE01" w:rsidR="00CF3535" w:rsidRPr="007A2779" w:rsidRDefault="00CF3535" w:rsidP="006B5967">
            <w:pPr>
              <w:rPr>
                <w:rFonts w:ascii="Verdana" w:hAnsi="Verdana"/>
                <w:sz w:val="16"/>
                <w:szCs w:val="16"/>
              </w:rPr>
            </w:pPr>
          </w:p>
        </w:tc>
      </w:tr>
      <w:tr w:rsidR="00CF3535" w:rsidRPr="00261DC9" w14:paraId="372919C5" w14:textId="77777777" w:rsidTr="0079504F">
        <w:trPr>
          <w:trHeight w:val="1177"/>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42AF2BC6" w14:textId="77777777" w:rsidR="00CF3535" w:rsidRDefault="00CF3535" w:rsidP="006B5967">
            <w:pPr>
              <w:rPr>
                <w:rFonts w:ascii="Verdana" w:hAnsi="Verdana"/>
                <w:sz w:val="16"/>
                <w:szCs w:val="16"/>
              </w:rPr>
            </w:pPr>
            <w:r>
              <w:rPr>
                <w:rFonts w:ascii="Verdana" w:hAnsi="Verdana"/>
                <w:sz w:val="16"/>
                <w:szCs w:val="16"/>
              </w:rPr>
              <w:lastRenderedPageBreak/>
              <w:t>3.15</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552F1269"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Where a tenancy subject to fair rent protection ends and the property is re-let, that new letting should be at social rent (or Affordable Rent where applicable and permitted. See 3.17a below).</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0955770"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0C484FE3" w14:textId="77777777" w:rsidR="00CF3535" w:rsidRPr="00B02749" w:rsidRDefault="00CF3535" w:rsidP="00CF3535">
            <w:pPr>
              <w:rPr>
                <w:rFonts w:ascii="Verdana" w:hAnsi="Verdana"/>
                <w:sz w:val="16"/>
                <w:szCs w:val="16"/>
              </w:rPr>
            </w:pPr>
          </w:p>
          <w:p w14:paraId="4D2D7608" w14:textId="77777777" w:rsidR="00CF3535" w:rsidRPr="00B02749" w:rsidRDefault="00CF3535" w:rsidP="00CF3535">
            <w:pPr>
              <w:rPr>
                <w:rFonts w:ascii="Verdana" w:hAnsi="Verdana"/>
                <w:sz w:val="16"/>
                <w:szCs w:val="16"/>
              </w:rPr>
            </w:pPr>
          </w:p>
          <w:p w14:paraId="6415DE15"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35F5A8EA" w14:textId="77777777" w:rsidR="00CF3535" w:rsidRPr="00B02749" w:rsidRDefault="00CF3535" w:rsidP="00CF3535">
            <w:pPr>
              <w:pStyle w:val="ListParagraph"/>
              <w:numPr>
                <w:ilvl w:val="0"/>
                <w:numId w:val="4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2C5DF851" w14:textId="77777777" w:rsidR="00CF3535" w:rsidRPr="00B02749" w:rsidRDefault="00CF3535" w:rsidP="00CF3535">
            <w:pPr>
              <w:pStyle w:val="ListParagraph"/>
              <w:numPr>
                <w:ilvl w:val="0"/>
                <w:numId w:val="4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2C0C1711" w14:textId="77777777" w:rsidR="00CF3535" w:rsidRPr="00B02749" w:rsidRDefault="00CF3535" w:rsidP="00CF3535">
            <w:pPr>
              <w:pStyle w:val="ListParagraph"/>
              <w:numPr>
                <w:ilvl w:val="0"/>
                <w:numId w:val="47"/>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66DDA045" w14:textId="77777777" w:rsidR="00CF3535" w:rsidRPr="00B02749" w:rsidRDefault="00CF3535" w:rsidP="00CF3535">
            <w:pPr>
              <w:spacing w:line="276" w:lineRule="auto"/>
              <w:rPr>
                <w:rFonts w:ascii="Verdana" w:hAnsi="Verdana"/>
                <w:bCs/>
                <w:sz w:val="16"/>
                <w:szCs w:val="16"/>
              </w:rPr>
            </w:pPr>
          </w:p>
          <w:p w14:paraId="5F5A60A4" w14:textId="77777777" w:rsidR="00CF3535" w:rsidRPr="00B02749" w:rsidRDefault="00CF3535" w:rsidP="00CF3535">
            <w:pPr>
              <w:spacing w:line="276" w:lineRule="auto"/>
              <w:rPr>
                <w:rFonts w:ascii="Verdana" w:hAnsi="Verdana"/>
                <w:b/>
                <w:sz w:val="16"/>
                <w:szCs w:val="16"/>
              </w:rPr>
            </w:pPr>
          </w:p>
          <w:p w14:paraId="293A4ACC"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44958556" w14:textId="0D0C7CD7" w:rsidR="00CF3535" w:rsidRPr="009229A7" w:rsidRDefault="00CF3535" w:rsidP="006B5967">
            <w:pPr>
              <w:rPr>
                <w:rFonts w:ascii="Verdana" w:hAnsi="Verdana"/>
                <w:sz w:val="16"/>
                <w:szCs w:val="16"/>
              </w:rPr>
            </w:pPr>
          </w:p>
        </w:tc>
      </w:tr>
      <w:tr w:rsidR="00CF3535" w:rsidRPr="00261DC9" w14:paraId="1A4C2FDA" w14:textId="77777777" w:rsidTr="00F73D12">
        <w:trPr>
          <w:trHeight w:val="1177"/>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3ECE7920" w14:textId="77777777" w:rsidR="00CF3535" w:rsidRDefault="00CF3535" w:rsidP="006B5967">
            <w:pPr>
              <w:rPr>
                <w:rFonts w:ascii="Verdana" w:hAnsi="Verdana"/>
                <w:sz w:val="16"/>
                <w:szCs w:val="16"/>
              </w:rPr>
            </w:pPr>
            <w:r>
              <w:rPr>
                <w:rFonts w:ascii="Verdana" w:hAnsi="Verdana"/>
                <w:sz w:val="16"/>
                <w:szCs w:val="16"/>
              </w:rPr>
              <w:t>3.16</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1209A34F"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On re-letting of a property previously occupied by a high-income social tenant, the new letting should be at social rent (or Affordable Rent where applicable and permitted. See 3.18a below).</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CA67E67" w14:textId="22C93D1C" w:rsidR="00CF3535" w:rsidRPr="009229A7" w:rsidRDefault="00CF3535" w:rsidP="006B5967">
            <w:pPr>
              <w:rPr>
                <w:rFonts w:ascii="Verdana" w:hAnsi="Verdana"/>
                <w:sz w:val="16"/>
                <w:szCs w:val="16"/>
              </w:rPr>
            </w:pPr>
          </w:p>
        </w:tc>
      </w:tr>
      <w:tr w:rsidR="00CF3535" w:rsidRPr="00261DC9" w14:paraId="0AB026C5" w14:textId="77777777" w:rsidTr="00357FC3">
        <w:trPr>
          <w:trHeight w:val="1177"/>
        </w:trPr>
        <w:tc>
          <w:tcPr>
            <w:tcW w:w="760" w:type="dxa"/>
            <w:tcBorders>
              <w:left w:val="double" w:sz="4" w:space="0" w:color="A6A6A6" w:themeColor="background1" w:themeShade="A6"/>
              <w:right w:val="double" w:sz="4" w:space="0" w:color="A6A6A6" w:themeColor="background1" w:themeShade="A6"/>
            </w:tcBorders>
            <w:shd w:val="clear" w:color="auto" w:fill="F2F2F2" w:themeFill="background1" w:themeFillShade="F2"/>
          </w:tcPr>
          <w:p w14:paraId="77D4908A" w14:textId="77777777" w:rsidR="00CF3535" w:rsidRDefault="00CF3535" w:rsidP="006B5967">
            <w:pPr>
              <w:rPr>
                <w:rFonts w:ascii="Verdana" w:hAnsi="Verdana"/>
                <w:sz w:val="16"/>
                <w:szCs w:val="16"/>
              </w:rPr>
            </w:pPr>
            <w:r>
              <w:rPr>
                <w:rFonts w:ascii="Verdana" w:hAnsi="Verdana"/>
                <w:sz w:val="16"/>
                <w:szCs w:val="16"/>
              </w:rPr>
              <w:t>3.17</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30B9EFE0"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 xml:space="preserve">Social rent properties may not be converted to: </w:t>
            </w:r>
          </w:p>
          <w:p w14:paraId="68343406" w14:textId="77777777" w:rsidR="00CF3535" w:rsidRDefault="00CF3535" w:rsidP="006B5967">
            <w:pPr>
              <w:pStyle w:val="Default"/>
              <w:rPr>
                <w:rFonts w:ascii="Verdana" w:hAnsi="Verdana" w:cs="Helvetica"/>
                <w:sz w:val="16"/>
                <w:szCs w:val="16"/>
              </w:rPr>
            </w:pPr>
          </w:p>
          <w:p w14:paraId="35BCA73E"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a. Affordable Rent (other than in the circumstances set out in chapter 2 of the Rent Policy Statement</w:t>
            </w:r>
            <w:proofErr w:type="gramStart"/>
            <w:r w:rsidRPr="00FA798A">
              <w:rPr>
                <w:rFonts w:ascii="Verdana" w:hAnsi="Verdana" w:cs="Helvetica"/>
                <w:sz w:val="16"/>
                <w:szCs w:val="16"/>
              </w:rPr>
              <w:t>);</w:t>
            </w:r>
            <w:proofErr w:type="gramEnd"/>
            <w:r w:rsidRPr="00FA798A">
              <w:rPr>
                <w:rFonts w:ascii="Verdana" w:hAnsi="Verdana" w:cs="Helvetica"/>
                <w:sz w:val="16"/>
                <w:szCs w:val="16"/>
              </w:rPr>
              <w:t xml:space="preserve"> </w:t>
            </w:r>
          </w:p>
          <w:p w14:paraId="4A97CF19"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 xml:space="preserve">b. market rent (other than in the circumstances set out in chapter 4 of the Rent Policy Statement); or </w:t>
            </w:r>
          </w:p>
          <w:p w14:paraId="0F06B69D" w14:textId="31E9AED1" w:rsidR="00CF3535" w:rsidRPr="00FA798A" w:rsidRDefault="00CF3535" w:rsidP="00BD627E">
            <w:pPr>
              <w:pStyle w:val="Default"/>
              <w:rPr>
                <w:rFonts w:ascii="Verdana" w:hAnsi="Verdana" w:cs="Helvetica"/>
                <w:sz w:val="16"/>
                <w:szCs w:val="16"/>
              </w:rPr>
            </w:pPr>
            <w:r w:rsidRPr="00FA798A">
              <w:rPr>
                <w:rFonts w:ascii="Verdana" w:hAnsi="Verdana" w:cs="Helvetica"/>
                <w:sz w:val="16"/>
                <w:szCs w:val="16"/>
              </w:rPr>
              <w:t xml:space="preserve">c. intermediate rent. </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DABE74"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3C96114" w14:textId="77777777" w:rsidR="00CF3535" w:rsidRPr="00B02749" w:rsidRDefault="00CF3535" w:rsidP="00CF3535">
            <w:pPr>
              <w:rPr>
                <w:rFonts w:ascii="Verdana" w:hAnsi="Verdana"/>
                <w:sz w:val="16"/>
                <w:szCs w:val="16"/>
              </w:rPr>
            </w:pPr>
          </w:p>
          <w:p w14:paraId="2F9DF630" w14:textId="77777777" w:rsidR="00CF3535" w:rsidRPr="00B02749" w:rsidRDefault="00CF3535" w:rsidP="00CF3535">
            <w:pPr>
              <w:rPr>
                <w:rFonts w:ascii="Verdana" w:hAnsi="Verdana"/>
                <w:sz w:val="16"/>
                <w:szCs w:val="16"/>
              </w:rPr>
            </w:pPr>
          </w:p>
          <w:p w14:paraId="59FA5292"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733EA1A6" w14:textId="77777777" w:rsidR="00CF3535" w:rsidRPr="00B02749" w:rsidRDefault="00CF3535" w:rsidP="00CF3535">
            <w:pPr>
              <w:pStyle w:val="ListParagraph"/>
              <w:numPr>
                <w:ilvl w:val="0"/>
                <w:numId w:val="4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44CC4BC0" w14:textId="77777777" w:rsidR="00CF3535" w:rsidRPr="00B02749" w:rsidRDefault="00CF3535" w:rsidP="00CF3535">
            <w:pPr>
              <w:pStyle w:val="ListParagraph"/>
              <w:numPr>
                <w:ilvl w:val="0"/>
                <w:numId w:val="4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6C82D4B2" w14:textId="77777777" w:rsidR="00CF3535" w:rsidRPr="00B02749" w:rsidRDefault="00CF3535" w:rsidP="00CF3535">
            <w:pPr>
              <w:pStyle w:val="ListParagraph"/>
              <w:numPr>
                <w:ilvl w:val="0"/>
                <w:numId w:val="48"/>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7226A998" w14:textId="77777777" w:rsidR="00CF3535" w:rsidRPr="00B02749" w:rsidRDefault="00CF3535" w:rsidP="00CF3535">
            <w:pPr>
              <w:spacing w:line="276" w:lineRule="auto"/>
              <w:rPr>
                <w:rFonts w:ascii="Verdana" w:hAnsi="Verdana"/>
                <w:bCs/>
                <w:sz w:val="16"/>
                <w:szCs w:val="16"/>
              </w:rPr>
            </w:pPr>
          </w:p>
          <w:p w14:paraId="50453304" w14:textId="77777777" w:rsidR="00CF3535" w:rsidRPr="00B02749" w:rsidRDefault="00CF3535" w:rsidP="00CF3535">
            <w:pPr>
              <w:spacing w:line="276" w:lineRule="auto"/>
              <w:rPr>
                <w:rFonts w:ascii="Verdana" w:hAnsi="Verdana"/>
                <w:b/>
                <w:sz w:val="16"/>
                <w:szCs w:val="16"/>
              </w:rPr>
            </w:pPr>
          </w:p>
          <w:p w14:paraId="09C2F19B"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642C1861" w14:textId="5944F179" w:rsidR="00CF3535" w:rsidRPr="00F636CC" w:rsidRDefault="00CF3535" w:rsidP="006B5967">
            <w:pPr>
              <w:rPr>
                <w:rFonts w:ascii="Verdana" w:hAnsi="Verdana"/>
                <w:sz w:val="16"/>
                <w:szCs w:val="16"/>
              </w:rPr>
            </w:pPr>
          </w:p>
        </w:tc>
      </w:tr>
      <w:tr w:rsidR="00CF3535" w:rsidRPr="00261DC9" w14:paraId="2BBC9F26" w14:textId="77777777" w:rsidTr="00BC0DCC">
        <w:trPr>
          <w:trHeight w:val="1177"/>
        </w:trPr>
        <w:tc>
          <w:tcPr>
            <w:tcW w:w="760" w:type="dxa"/>
            <w:tcBorders>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22CC0BC4" w14:textId="77777777" w:rsidR="00CF3535" w:rsidRDefault="00CF3535" w:rsidP="006B5967">
            <w:pPr>
              <w:rPr>
                <w:rFonts w:ascii="Verdana" w:hAnsi="Verdana"/>
                <w:sz w:val="16"/>
                <w:szCs w:val="16"/>
              </w:rPr>
            </w:pPr>
            <w:r>
              <w:rPr>
                <w:rFonts w:ascii="Verdana" w:hAnsi="Verdana"/>
                <w:sz w:val="16"/>
                <w:szCs w:val="16"/>
              </w:rPr>
              <w:t>3.18</w:t>
            </w:r>
          </w:p>
        </w:tc>
        <w:tc>
          <w:tcPr>
            <w:tcW w:w="53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08EC1A86"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 xml:space="preserve">Affordable Rent housing must not be converted (including on re-let) to: </w:t>
            </w:r>
          </w:p>
          <w:p w14:paraId="64C2429F" w14:textId="77777777" w:rsidR="00CF3535" w:rsidRDefault="00CF3535" w:rsidP="006B5967">
            <w:pPr>
              <w:pStyle w:val="Default"/>
              <w:rPr>
                <w:rFonts w:ascii="Verdana" w:hAnsi="Verdana" w:cs="Helvetica"/>
                <w:sz w:val="16"/>
                <w:szCs w:val="16"/>
              </w:rPr>
            </w:pPr>
          </w:p>
          <w:p w14:paraId="0B82B398" w14:textId="77777777" w:rsidR="00CF3535" w:rsidRPr="00FA798A" w:rsidRDefault="00CF3535" w:rsidP="006B5967">
            <w:pPr>
              <w:pStyle w:val="Default"/>
              <w:rPr>
                <w:rFonts w:ascii="Verdana" w:hAnsi="Verdana" w:cs="Helvetica"/>
                <w:sz w:val="16"/>
                <w:szCs w:val="16"/>
              </w:rPr>
            </w:pPr>
            <w:r w:rsidRPr="00FA798A">
              <w:rPr>
                <w:rFonts w:ascii="Verdana" w:hAnsi="Verdana" w:cs="Helvetica"/>
                <w:sz w:val="16"/>
                <w:szCs w:val="16"/>
              </w:rPr>
              <w:t xml:space="preserve">a. market rent (other than in the circumstances set out in chapter 4 of the Rent Policy Statement); or </w:t>
            </w:r>
          </w:p>
          <w:p w14:paraId="0E4AF20E" w14:textId="6CE45B8B" w:rsidR="00CF3535" w:rsidRPr="00FA798A" w:rsidRDefault="00CF3535" w:rsidP="00BD627E">
            <w:pPr>
              <w:pStyle w:val="Default"/>
              <w:rPr>
                <w:rFonts w:ascii="Verdana" w:hAnsi="Verdana" w:cs="Helvetica"/>
                <w:sz w:val="16"/>
                <w:szCs w:val="16"/>
              </w:rPr>
            </w:pPr>
            <w:r w:rsidRPr="00FA798A">
              <w:rPr>
                <w:rFonts w:ascii="Verdana" w:hAnsi="Verdana" w:cs="Helvetica"/>
                <w:sz w:val="16"/>
                <w:szCs w:val="16"/>
              </w:rPr>
              <w:t>b. intermediate rent.</w:t>
            </w:r>
          </w:p>
        </w:tc>
        <w:tc>
          <w:tcPr>
            <w:tcW w:w="936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65EA60F"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8154174" w14:textId="77777777" w:rsidR="00CF3535" w:rsidRPr="00B02749" w:rsidRDefault="00CF3535" w:rsidP="00CF3535">
            <w:pPr>
              <w:rPr>
                <w:rFonts w:ascii="Verdana" w:hAnsi="Verdana"/>
                <w:sz w:val="16"/>
                <w:szCs w:val="16"/>
              </w:rPr>
            </w:pPr>
          </w:p>
          <w:p w14:paraId="027CB4DE" w14:textId="77777777" w:rsidR="00CF3535" w:rsidRPr="00B02749" w:rsidRDefault="00CF3535" w:rsidP="00CF3535">
            <w:pPr>
              <w:rPr>
                <w:rFonts w:ascii="Verdana" w:hAnsi="Verdana"/>
                <w:sz w:val="16"/>
                <w:szCs w:val="16"/>
              </w:rPr>
            </w:pPr>
          </w:p>
          <w:p w14:paraId="05336532" w14:textId="77777777" w:rsidR="00CF3535" w:rsidRPr="00B02749" w:rsidRDefault="00CF3535" w:rsidP="00CF3535">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1FBDD9A7" w14:textId="77777777" w:rsidR="00CF3535" w:rsidRPr="00B02749" w:rsidRDefault="00CF3535" w:rsidP="00CF3535">
            <w:pPr>
              <w:pStyle w:val="ListParagraph"/>
              <w:numPr>
                <w:ilvl w:val="0"/>
                <w:numId w:val="4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5153A5C3" w14:textId="77777777" w:rsidR="00CF3535" w:rsidRPr="00B02749" w:rsidRDefault="00CF3535" w:rsidP="00CF3535">
            <w:pPr>
              <w:pStyle w:val="ListParagraph"/>
              <w:numPr>
                <w:ilvl w:val="0"/>
                <w:numId w:val="4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110B0D16" w14:textId="77777777" w:rsidR="00CF3535" w:rsidRPr="00B02749" w:rsidRDefault="00CF3535" w:rsidP="00CF3535">
            <w:pPr>
              <w:pStyle w:val="ListParagraph"/>
              <w:numPr>
                <w:ilvl w:val="0"/>
                <w:numId w:val="49"/>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7001BBB0" w14:textId="77777777" w:rsidR="00CF3535" w:rsidRPr="00B02749" w:rsidRDefault="00CF3535" w:rsidP="00CF3535">
            <w:pPr>
              <w:spacing w:line="276" w:lineRule="auto"/>
              <w:rPr>
                <w:rFonts w:ascii="Verdana" w:hAnsi="Verdana"/>
                <w:bCs/>
                <w:sz w:val="16"/>
                <w:szCs w:val="16"/>
              </w:rPr>
            </w:pPr>
          </w:p>
          <w:p w14:paraId="0D8A3FB5" w14:textId="77777777" w:rsidR="00CF3535" w:rsidRPr="00B02749" w:rsidRDefault="00CF3535" w:rsidP="00CF3535">
            <w:pPr>
              <w:spacing w:line="276" w:lineRule="auto"/>
              <w:rPr>
                <w:rFonts w:ascii="Verdana" w:hAnsi="Verdana"/>
                <w:b/>
                <w:sz w:val="16"/>
                <w:szCs w:val="16"/>
              </w:rPr>
            </w:pPr>
          </w:p>
          <w:p w14:paraId="0BBAC478" w14:textId="77777777" w:rsidR="00CF3535" w:rsidRPr="00B02749" w:rsidRDefault="00CF3535" w:rsidP="00CF3535">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3CFC079B" w14:textId="5C71B81F" w:rsidR="00CF3535" w:rsidRPr="00F636CC" w:rsidRDefault="00CF3535" w:rsidP="006B5967">
            <w:pPr>
              <w:rPr>
                <w:rFonts w:ascii="Verdana" w:hAnsi="Verdana"/>
                <w:sz w:val="16"/>
                <w:szCs w:val="16"/>
              </w:rPr>
            </w:pPr>
          </w:p>
        </w:tc>
      </w:tr>
    </w:tbl>
    <w:tbl>
      <w:tblPr>
        <w:tblStyle w:val="TableGrid1"/>
        <w:tblW w:w="15422" w:type="dxa"/>
        <w:tblInd w:w="29" w:type="dxa"/>
        <w:tblBorders>
          <w:top w:val="none" w:sz="0" w:space="0" w:color="auto"/>
          <w:left w:val="single" w:sz="4" w:space="0" w:color="FFFFFF" w:themeColor="background1"/>
          <w:bottom w:val="none" w:sz="0" w:space="0" w:color="auto"/>
          <w:right w:val="single" w:sz="4" w:space="0" w:color="FFFFFF" w:themeColor="background1"/>
          <w:insideH w:val="none" w:sz="0" w:space="0" w:color="auto"/>
          <w:insideV w:val="none" w:sz="0" w:space="0" w:color="auto"/>
        </w:tblBorders>
        <w:tblLayout w:type="fixed"/>
        <w:tblLook w:val="04A0" w:firstRow="1" w:lastRow="0" w:firstColumn="1" w:lastColumn="0" w:noHBand="0" w:noVBand="1"/>
      </w:tblPr>
      <w:tblGrid>
        <w:gridCol w:w="15422"/>
      </w:tblGrid>
      <w:tr w:rsidR="004F6337" w:rsidRPr="00572039" w14:paraId="69C68FB5" w14:textId="77777777" w:rsidTr="004F6337">
        <w:trPr>
          <w:trHeight w:val="380"/>
        </w:trPr>
        <w:tc>
          <w:tcPr>
            <w:tcW w:w="15422" w:type="dxa"/>
            <w:shd w:val="clear" w:color="auto" w:fill="auto"/>
          </w:tcPr>
          <w:p w14:paraId="7E324679" w14:textId="77777777" w:rsidR="004F6337" w:rsidRPr="00572039" w:rsidRDefault="004F6337" w:rsidP="00A41CF9">
            <w:pPr>
              <w:jc w:val="center"/>
              <w:rPr>
                <w:b/>
                <w:sz w:val="8"/>
                <w:szCs w:val="20"/>
              </w:rPr>
            </w:pPr>
          </w:p>
        </w:tc>
      </w:tr>
    </w:tbl>
    <w:tbl>
      <w:tblPr>
        <w:tblStyle w:val="TableGrid"/>
        <w:tblW w:w="15672" w:type="dxa"/>
        <w:tblInd w:w="29"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ayout w:type="fixed"/>
        <w:tblLook w:val="04A0" w:firstRow="1" w:lastRow="0" w:firstColumn="1" w:lastColumn="0" w:noHBand="0" w:noVBand="1"/>
      </w:tblPr>
      <w:tblGrid>
        <w:gridCol w:w="3198"/>
        <w:gridCol w:w="2693"/>
        <w:gridCol w:w="1701"/>
        <w:gridCol w:w="3260"/>
        <w:gridCol w:w="284"/>
        <w:gridCol w:w="2693"/>
        <w:gridCol w:w="1843"/>
      </w:tblGrid>
      <w:tr w:rsidR="003A7954" w:rsidRPr="007F204A" w14:paraId="34A47780" w14:textId="77777777" w:rsidTr="006C1541">
        <w:trPr>
          <w:trHeight w:val="380"/>
        </w:trPr>
        <w:tc>
          <w:tcPr>
            <w:tcW w:w="10852" w:type="dxa"/>
            <w:gridSpan w:val="4"/>
            <w:vMerge w:val="restart"/>
            <w:shd w:val="clear" w:color="auto" w:fill="FFFFFF" w:themeFill="background1"/>
          </w:tcPr>
          <w:p w14:paraId="0184076C" w14:textId="77777777" w:rsidR="003A7954" w:rsidRPr="00BD627E" w:rsidRDefault="003A7954" w:rsidP="006C1541">
            <w:pPr>
              <w:jc w:val="center"/>
              <w:rPr>
                <w:b/>
                <w:i/>
                <w:sz w:val="16"/>
                <w:szCs w:val="16"/>
              </w:rPr>
            </w:pPr>
          </w:p>
          <w:p w14:paraId="411D6698" w14:textId="77777777" w:rsidR="003A7954" w:rsidRPr="007F204A" w:rsidRDefault="003A7954" w:rsidP="006C1541">
            <w:pPr>
              <w:spacing w:after="200" w:line="276" w:lineRule="auto"/>
              <w:jc w:val="center"/>
              <w:rPr>
                <w:b/>
                <w:i/>
                <w:sz w:val="20"/>
                <w:szCs w:val="20"/>
              </w:rPr>
            </w:pPr>
            <w:r w:rsidRPr="007F204A">
              <w:rPr>
                <w:b/>
                <w:bCs/>
                <w:i/>
                <w:iCs/>
                <w:sz w:val="20"/>
                <w:szCs w:val="20"/>
              </w:rPr>
              <w:t xml:space="preserve">I confirm that the information and supporting evidence provided within this compliance </w:t>
            </w:r>
            <w:proofErr w:type="spellStart"/>
            <w:r w:rsidRPr="007F204A">
              <w:rPr>
                <w:b/>
                <w:bCs/>
                <w:i/>
                <w:iCs/>
                <w:sz w:val="20"/>
                <w:szCs w:val="20"/>
              </w:rPr>
              <w:t>self assessment</w:t>
            </w:r>
            <w:proofErr w:type="spellEnd"/>
            <w:r w:rsidRPr="007F204A">
              <w:rPr>
                <w:b/>
                <w:bCs/>
                <w:i/>
                <w:iCs/>
                <w:sz w:val="20"/>
                <w:szCs w:val="20"/>
              </w:rPr>
              <w:t xml:space="preserve"> is up to date and accurate to the best of my knowledge.  There are no areas of </w:t>
            </w:r>
            <w:proofErr w:type="spellStart"/>
            <w:proofErr w:type="gramStart"/>
            <w:r w:rsidRPr="007F204A">
              <w:rPr>
                <w:b/>
                <w:bCs/>
                <w:i/>
                <w:iCs/>
                <w:sz w:val="20"/>
                <w:szCs w:val="20"/>
              </w:rPr>
              <w:t>non compliance</w:t>
            </w:r>
            <w:proofErr w:type="spellEnd"/>
            <w:proofErr w:type="gramEnd"/>
            <w:r w:rsidRPr="007F204A">
              <w:rPr>
                <w:b/>
                <w:bCs/>
                <w:i/>
                <w:iCs/>
                <w:sz w:val="20"/>
                <w:szCs w:val="20"/>
              </w:rPr>
              <w:t xml:space="preserve"> /omissions that I am aware of and all reasonable steps have been taken to ensure compliance with law relating to these areas.</w:t>
            </w:r>
          </w:p>
        </w:tc>
        <w:tc>
          <w:tcPr>
            <w:tcW w:w="284" w:type="dxa"/>
            <w:vMerge w:val="restart"/>
            <w:tcBorders>
              <w:top w:val="double" w:sz="4" w:space="0" w:color="FFFFFF" w:themeColor="background1"/>
              <w:right w:val="nil"/>
            </w:tcBorders>
            <w:shd w:val="clear" w:color="auto" w:fill="FFFFFF" w:themeFill="background1"/>
          </w:tcPr>
          <w:p w14:paraId="1FF59D14" w14:textId="77777777" w:rsidR="003A7954" w:rsidRPr="007F204A" w:rsidRDefault="003A7954" w:rsidP="006C1541">
            <w:pPr>
              <w:jc w:val="center"/>
              <w:rPr>
                <w:b/>
                <w:i/>
                <w:sz w:val="20"/>
                <w:szCs w:val="20"/>
              </w:rPr>
            </w:pPr>
          </w:p>
        </w:tc>
        <w:tc>
          <w:tcPr>
            <w:tcW w:w="2693" w:type="dxa"/>
            <w:tcBorders>
              <w:top w:val="nil"/>
              <w:left w:val="nil"/>
            </w:tcBorders>
            <w:shd w:val="clear" w:color="auto" w:fill="FFFFFF" w:themeFill="background1"/>
          </w:tcPr>
          <w:p w14:paraId="2C97CEA0" w14:textId="77777777" w:rsidR="003A7954" w:rsidRPr="0069273C" w:rsidRDefault="003A7954" w:rsidP="006C1541">
            <w:pPr>
              <w:jc w:val="center"/>
              <w:rPr>
                <w:sz w:val="20"/>
                <w:szCs w:val="20"/>
              </w:rPr>
            </w:pPr>
          </w:p>
        </w:tc>
        <w:tc>
          <w:tcPr>
            <w:tcW w:w="1843" w:type="dxa"/>
            <w:shd w:val="clear" w:color="auto" w:fill="FBD4B4" w:themeFill="accent6" w:themeFillTint="66"/>
          </w:tcPr>
          <w:p w14:paraId="56DE991B" w14:textId="77777777" w:rsidR="003A7954" w:rsidRPr="0069273C" w:rsidRDefault="003A7954" w:rsidP="006C1541">
            <w:pPr>
              <w:jc w:val="center"/>
              <w:rPr>
                <w:b/>
                <w:sz w:val="20"/>
                <w:szCs w:val="20"/>
              </w:rPr>
            </w:pPr>
            <w:r w:rsidRPr="0069273C">
              <w:rPr>
                <w:b/>
                <w:sz w:val="20"/>
                <w:szCs w:val="20"/>
              </w:rPr>
              <w:t>Date</w:t>
            </w:r>
            <w:r>
              <w:rPr>
                <w:b/>
                <w:sz w:val="20"/>
                <w:szCs w:val="20"/>
              </w:rPr>
              <w:t>s</w:t>
            </w:r>
            <w:r w:rsidRPr="0069273C">
              <w:rPr>
                <w:b/>
                <w:sz w:val="20"/>
                <w:szCs w:val="20"/>
              </w:rPr>
              <w:t xml:space="preserve"> presented </w:t>
            </w:r>
          </w:p>
        </w:tc>
      </w:tr>
      <w:tr w:rsidR="003A7954" w:rsidRPr="007F204A" w14:paraId="05C06E9E" w14:textId="77777777" w:rsidTr="006C1541">
        <w:trPr>
          <w:trHeight w:val="165"/>
        </w:trPr>
        <w:tc>
          <w:tcPr>
            <w:tcW w:w="10852" w:type="dxa"/>
            <w:gridSpan w:val="4"/>
            <w:vMerge/>
            <w:shd w:val="clear" w:color="auto" w:fill="FFFFFF" w:themeFill="background1"/>
          </w:tcPr>
          <w:p w14:paraId="24894969" w14:textId="77777777" w:rsidR="003A7954" w:rsidRPr="007F204A" w:rsidRDefault="003A7954" w:rsidP="006C1541">
            <w:pPr>
              <w:jc w:val="center"/>
              <w:rPr>
                <w:b/>
                <w:i/>
                <w:sz w:val="20"/>
                <w:szCs w:val="20"/>
              </w:rPr>
            </w:pPr>
          </w:p>
        </w:tc>
        <w:tc>
          <w:tcPr>
            <w:tcW w:w="284" w:type="dxa"/>
            <w:vMerge/>
            <w:shd w:val="clear" w:color="auto" w:fill="FFFFFF" w:themeFill="background1"/>
          </w:tcPr>
          <w:p w14:paraId="41D207CD" w14:textId="77777777" w:rsidR="003A7954" w:rsidRPr="007F204A" w:rsidRDefault="003A7954" w:rsidP="006C1541">
            <w:pPr>
              <w:jc w:val="center"/>
              <w:rPr>
                <w:b/>
                <w:i/>
                <w:sz w:val="20"/>
                <w:szCs w:val="20"/>
              </w:rPr>
            </w:pPr>
          </w:p>
        </w:tc>
        <w:tc>
          <w:tcPr>
            <w:tcW w:w="2693" w:type="dxa"/>
            <w:shd w:val="clear" w:color="auto" w:fill="D9D9D9" w:themeFill="background1" w:themeFillShade="D9"/>
          </w:tcPr>
          <w:p w14:paraId="31822854" w14:textId="3C71F487" w:rsidR="003A7954" w:rsidRPr="0069273C" w:rsidRDefault="003A7954" w:rsidP="006C1541">
            <w:pPr>
              <w:rPr>
                <w:sz w:val="20"/>
                <w:szCs w:val="20"/>
              </w:rPr>
            </w:pPr>
          </w:p>
        </w:tc>
        <w:tc>
          <w:tcPr>
            <w:tcW w:w="1843" w:type="dxa"/>
            <w:shd w:val="clear" w:color="auto" w:fill="FFFFFF" w:themeFill="background1"/>
          </w:tcPr>
          <w:p w14:paraId="6951E4B9" w14:textId="571DC4CD" w:rsidR="003A7954" w:rsidRPr="00C22536" w:rsidRDefault="006200FA" w:rsidP="006C1541">
            <w:pPr>
              <w:jc w:val="center"/>
              <w:rPr>
                <w:sz w:val="20"/>
                <w:szCs w:val="20"/>
              </w:rPr>
            </w:pPr>
            <w:r>
              <w:rPr>
                <w:sz w:val="20"/>
                <w:szCs w:val="20"/>
              </w:rPr>
              <w:t xml:space="preserve"> </w:t>
            </w:r>
          </w:p>
        </w:tc>
      </w:tr>
      <w:tr w:rsidR="003A7954" w:rsidRPr="007F204A" w14:paraId="22A890AB" w14:textId="77777777" w:rsidTr="006C1541">
        <w:trPr>
          <w:trHeight w:val="165"/>
        </w:trPr>
        <w:tc>
          <w:tcPr>
            <w:tcW w:w="10852" w:type="dxa"/>
            <w:gridSpan w:val="4"/>
            <w:vMerge/>
            <w:shd w:val="clear" w:color="auto" w:fill="FFFFFF" w:themeFill="background1"/>
          </w:tcPr>
          <w:p w14:paraId="42605BF8" w14:textId="77777777" w:rsidR="003A7954" w:rsidRPr="007F204A" w:rsidRDefault="003A7954" w:rsidP="006C1541">
            <w:pPr>
              <w:jc w:val="center"/>
              <w:rPr>
                <w:b/>
                <w:i/>
                <w:sz w:val="20"/>
                <w:szCs w:val="20"/>
              </w:rPr>
            </w:pPr>
          </w:p>
        </w:tc>
        <w:tc>
          <w:tcPr>
            <w:tcW w:w="284" w:type="dxa"/>
            <w:vMerge/>
            <w:shd w:val="clear" w:color="auto" w:fill="FFFFFF" w:themeFill="background1"/>
          </w:tcPr>
          <w:p w14:paraId="05B51842" w14:textId="77777777" w:rsidR="003A7954" w:rsidRPr="007F204A" w:rsidRDefault="003A7954" w:rsidP="006C1541">
            <w:pPr>
              <w:jc w:val="center"/>
              <w:rPr>
                <w:b/>
                <w:i/>
                <w:sz w:val="20"/>
                <w:szCs w:val="20"/>
              </w:rPr>
            </w:pPr>
          </w:p>
        </w:tc>
        <w:tc>
          <w:tcPr>
            <w:tcW w:w="2693" w:type="dxa"/>
            <w:shd w:val="clear" w:color="auto" w:fill="D9D9D9" w:themeFill="background1" w:themeFillShade="D9"/>
          </w:tcPr>
          <w:p w14:paraId="0F704351" w14:textId="7ABEACF7" w:rsidR="003A7954" w:rsidRPr="0069273C" w:rsidRDefault="003A7954" w:rsidP="006C1541">
            <w:pPr>
              <w:rPr>
                <w:sz w:val="20"/>
                <w:szCs w:val="20"/>
              </w:rPr>
            </w:pPr>
          </w:p>
        </w:tc>
        <w:tc>
          <w:tcPr>
            <w:tcW w:w="1843" w:type="dxa"/>
            <w:shd w:val="clear" w:color="auto" w:fill="FFFFFF" w:themeFill="background1"/>
          </w:tcPr>
          <w:p w14:paraId="60D33BC3" w14:textId="5725B198" w:rsidR="003A7954" w:rsidRPr="00C22536" w:rsidRDefault="003A7954" w:rsidP="006C1541">
            <w:pPr>
              <w:jc w:val="center"/>
              <w:rPr>
                <w:sz w:val="20"/>
                <w:szCs w:val="20"/>
              </w:rPr>
            </w:pPr>
          </w:p>
        </w:tc>
      </w:tr>
      <w:tr w:rsidR="003A7954" w:rsidRPr="007F204A" w14:paraId="14C01062" w14:textId="77777777" w:rsidTr="006C1541">
        <w:trPr>
          <w:trHeight w:val="43"/>
        </w:trPr>
        <w:tc>
          <w:tcPr>
            <w:tcW w:w="10852" w:type="dxa"/>
            <w:gridSpan w:val="4"/>
            <w:vMerge/>
            <w:shd w:val="clear" w:color="auto" w:fill="FFFFFF" w:themeFill="background1"/>
          </w:tcPr>
          <w:p w14:paraId="37C2A805" w14:textId="77777777" w:rsidR="003A7954" w:rsidRPr="007F204A" w:rsidRDefault="003A7954" w:rsidP="006C1541">
            <w:pPr>
              <w:jc w:val="center"/>
              <w:rPr>
                <w:b/>
                <w:i/>
                <w:sz w:val="20"/>
                <w:szCs w:val="20"/>
              </w:rPr>
            </w:pPr>
          </w:p>
        </w:tc>
        <w:tc>
          <w:tcPr>
            <w:tcW w:w="284" w:type="dxa"/>
            <w:vMerge/>
            <w:tcBorders>
              <w:bottom w:val="double" w:sz="4" w:space="0" w:color="FFFFFF" w:themeColor="background1"/>
            </w:tcBorders>
            <w:shd w:val="clear" w:color="auto" w:fill="FFFFFF" w:themeFill="background1"/>
          </w:tcPr>
          <w:p w14:paraId="41B48EA0" w14:textId="77777777" w:rsidR="003A7954" w:rsidRPr="007F204A" w:rsidRDefault="003A7954" w:rsidP="006C1541">
            <w:pPr>
              <w:jc w:val="center"/>
              <w:rPr>
                <w:b/>
                <w:i/>
                <w:sz w:val="20"/>
                <w:szCs w:val="20"/>
              </w:rPr>
            </w:pPr>
          </w:p>
        </w:tc>
        <w:tc>
          <w:tcPr>
            <w:tcW w:w="2693" w:type="dxa"/>
            <w:tcBorders>
              <w:bottom w:val="double" w:sz="4" w:space="0" w:color="A6A6A6" w:themeColor="background1" w:themeShade="A6"/>
            </w:tcBorders>
            <w:shd w:val="clear" w:color="auto" w:fill="D9D9D9" w:themeFill="background1" w:themeFillShade="D9"/>
          </w:tcPr>
          <w:p w14:paraId="46D05C8D" w14:textId="7FFE7C55" w:rsidR="003A7954" w:rsidRPr="0069273C" w:rsidRDefault="003A7954" w:rsidP="006C1541">
            <w:pPr>
              <w:rPr>
                <w:sz w:val="20"/>
                <w:szCs w:val="20"/>
              </w:rPr>
            </w:pPr>
          </w:p>
        </w:tc>
        <w:tc>
          <w:tcPr>
            <w:tcW w:w="1843" w:type="dxa"/>
            <w:tcBorders>
              <w:bottom w:val="double" w:sz="4" w:space="0" w:color="A6A6A6" w:themeColor="background1" w:themeShade="A6"/>
            </w:tcBorders>
            <w:shd w:val="clear" w:color="auto" w:fill="FFFFFF" w:themeFill="background1"/>
          </w:tcPr>
          <w:p w14:paraId="427B718D" w14:textId="5C1B06A2" w:rsidR="003A7954" w:rsidRPr="00C22536" w:rsidRDefault="003A7954" w:rsidP="006C1541">
            <w:pPr>
              <w:jc w:val="center"/>
              <w:rPr>
                <w:sz w:val="20"/>
                <w:szCs w:val="20"/>
              </w:rPr>
            </w:pPr>
          </w:p>
        </w:tc>
      </w:tr>
      <w:tr w:rsidR="003A7954" w:rsidRPr="007F204A" w14:paraId="4F74FA0C" w14:textId="77777777" w:rsidTr="006C1541">
        <w:trPr>
          <w:trHeight w:val="218"/>
        </w:trPr>
        <w:tc>
          <w:tcPr>
            <w:tcW w:w="3198" w:type="dxa"/>
            <w:vMerge w:val="restart"/>
            <w:shd w:val="clear" w:color="auto" w:fill="FBD4B4" w:themeFill="accent6" w:themeFillTint="66"/>
            <w:vAlign w:val="center"/>
          </w:tcPr>
          <w:p w14:paraId="27413122" w14:textId="77777777" w:rsidR="003A7954" w:rsidRPr="007F204A" w:rsidRDefault="003A7954" w:rsidP="006C1541">
            <w:pPr>
              <w:jc w:val="center"/>
              <w:rPr>
                <w:b/>
                <w:sz w:val="20"/>
                <w:szCs w:val="20"/>
              </w:rPr>
            </w:pPr>
            <w:r w:rsidRPr="007F204A">
              <w:rPr>
                <w:b/>
                <w:sz w:val="20"/>
                <w:szCs w:val="20"/>
              </w:rPr>
              <w:t>Leader Manager (s)</w:t>
            </w:r>
          </w:p>
        </w:tc>
        <w:tc>
          <w:tcPr>
            <w:tcW w:w="2693" w:type="dxa"/>
            <w:vMerge w:val="restart"/>
            <w:shd w:val="clear" w:color="auto" w:fill="FBD4B4" w:themeFill="accent6" w:themeFillTint="66"/>
            <w:vAlign w:val="center"/>
          </w:tcPr>
          <w:p w14:paraId="0B069B4E" w14:textId="77777777" w:rsidR="003A7954" w:rsidRPr="007F204A" w:rsidRDefault="003A7954" w:rsidP="006C1541">
            <w:pPr>
              <w:jc w:val="center"/>
              <w:rPr>
                <w:b/>
                <w:i/>
                <w:sz w:val="20"/>
                <w:szCs w:val="20"/>
              </w:rPr>
            </w:pPr>
            <w:r>
              <w:rPr>
                <w:b/>
                <w:i/>
                <w:sz w:val="20"/>
                <w:szCs w:val="20"/>
              </w:rPr>
              <w:t>Ref No.</w:t>
            </w:r>
          </w:p>
        </w:tc>
        <w:tc>
          <w:tcPr>
            <w:tcW w:w="1701" w:type="dxa"/>
            <w:vMerge w:val="restart"/>
            <w:shd w:val="clear" w:color="auto" w:fill="FBD4B4" w:themeFill="accent6" w:themeFillTint="66"/>
            <w:vAlign w:val="center"/>
          </w:tcPr>
          <w:p w14:paraId="1780AA6C" w14:textId="77777777" w:rsidR="003A7954" w:rsidRPr="00C22536" w:rsidRDefault="003A7954" w:rsidP="006C1541">
            <w:pPr>
              <w:jc w:val="center"/>
              <w:rPr>
                <w:b/>
                <w:i/>
                <w:sz w:val="20"/>
                <w:szCs w:val="20"/>
              </w:rPr>
            </w:pPr>
            <w:r w:rsidRPr="00C22536">
              <w:rPr>
                <w:b/>
                <w:i/>
                <w:sz w:val="20"/>
                <w:szCs w:val="20"/>
              </w:rPr>
              <w:t>Date</w:t>
            </w:r>
          </w:p>
        </w:tc>
        <w:tc>
          <w:tcPr>
            <w:tcW w:w="3260" w:type="dxa"/>
            <w:vMerge w:val="restart"/>
            <w:shd w:val="clear" w:color="auto" w:fill="FBD4B4" w:themeFill="accent6" w:themeFillTint="66"/>
            <w:vAlign w:val="center"/>
          </w:tcPr>
          <w:p w14:paraId="3E16B5B8" w14:textId="77777777" w:rsidR="003A7954" w:rsidRPr="00C22536" w:rsidRDefault="003A7954" w:rsidP="006C1541">
            <w:pPr>
              <w:jc w:val="center"/>
              <w:rPr>
                <w:b/>
                <w:i/>
                <w:sz w:val="20"/>
                <w:szCs w:val="20"/>
              </w:rPr>
            </w:pPr>
            <w:r w:rsidRPr="00C22536">
              <w:rPr>
                <w:b/>
                <w:i/>
                <w:sz w:val="20"/>
                <w:szCs w:val="20"/>
              </w:rPr>
              <w:t>Signature</w:t>
            </w:r>
          </w:p>
        </w:tc>
        <w:tc>
          <w:tcPr>
            <w:tcW w:w="284" w:type="dxa"/>
            <w:vMerge w:val="restart"/>
            <w:tcBorders>
              <w:top w:val="double" w:sz="4" w:space="0" w:color="FFFFFF" w:themeColor="background1"/>
            </w:tcBorders>
            <w:shd w:val="clear" w:color="auto" w:fill="auto"/>
          </w:tcPr>
          <w:p w14:paraId="08462E70" w14:textId="77777777" w:rsidR="003A7954" w:rsidRPr="007F204A" w:rsidRDefault="003A7954" w:rsidP="006C1541">
            <w:pPr>
              <w:jc w:val="center"/>
              <w:rPr>
                <w:b/>
                <w:i/>
                <w:sz w:val="20"/>
                <w:szCs w:val="20"/>
              </w:rPr>
            </w:pPr>
          </w:p>
        </w:tc>
        <w:tc>
          <w:tcPr>
            <w:tcW w:w="2693" w:type="dxa"/>
            <w:tcBorders>
              <w:bottom w:val="double" w:sz="4" w:space="0" w:color="BFBFBF" w:themeColor="background1" w:themeShade="BF"/>
            </w:tcBorders>
            <w:shd w:val="clear" w:color="auto" w:fill="D9D9D9" w:themeFill="background1" w:themeFillShade="D9"/>
          </w:tcPr>
          <w:p w14:paraId="077022F5" w14:textId="60F4CBC7" w:rsidR="003A7954" w:rsidRPr="0069273C" w:rsidRDefault="003A7954" w:rsidP="006C1541">
            <w:pPr>
              <w:rPr>
                <w:sz w:val="20"/>
                <w:szCs w:val="20"/>
              </w:rPr>
            </w:pPr>
          </w:p>
        </w:tc>
        <w:tc>
          <w:tcPr>
            <w:tcW w:w="1843" w:type="dxa"/>
            <w:tcBorders>
              <w:bottom w:val="double" w:sz="4" w:space="0" w:color="BFBFBF" w:themeColor="background1" w:themeShade="BF"/>
            </w:tcBorders>
            <w:shd w:val="clear" w:color="auto" w:fill="auto"/>
          </w:tcPr>
          <w:p w14:paraId="73F9C12E" w14:textId="13DA5CB5" w:rsidR="003A7954" w:rsidRPr="00C22536" w:rsidRDefault="003A7954" w:rsidP="006C1541">
            <w:pPr>
              <w:jc w:val="center"/>
              <w:rPr>
                <w:sz w:val="20"/>
                <w:szCs w:val="20"/>
              </w:rPr>
            </w:pPr>
          </w:p>
        </w:tc>
      </w:tr>
      <w:tr w:rsidR="003A7954" w:rsidRPr="007F204A" w14:paraId="38A34168" w14:textId="77777777" w:rsidTr="006C1541">
        <w:trPr>
          <w:trHeight w:val="81"/>
        </w:trPr>
        <w:tc>
          <w:tcPr>
            <w:tcW w:w="3198" w:type="dxa"/>
            <w:vMerge/>
            <w:tcBorders>
              <w:bottom w:val="double" w:sz="4" w:space="0" w:color="A6A6A6" w:themeColor="background1" w:themeShade="A6"/>
            </w:tcBorders>
            <w:shd w:val="clear" w:color="auto" w:fill="FBD4B4" w:themeFill="accent6" w:themeFillTint="66"/>
          </w:tcPr>
          <w:p w14:paraId="55A96D68" w14:textId="77777777" w:rsidR="003A7954" w:rsidRPr="007F204A" w:rsidRDefault="003A7954" w:rsidP="006C1541">
            <w:pPr>
              <w:rPr>
                <w:b/>
                <w:sz w:val="20"/>
                <w:szCs w:val="20"/>
              </w:rPr>
            </w:pPr>
          </w:p>
        </w:tc>
        <w:tc>
          <w:tcPr>
            <w:tcW w:w="2693" w:type="dxa"/>
            <w:vMerge/>
            <w:tcBorders>
              <w:bottom w:val="double" w:sz="4" w:space="0" w:color="A6A6A6" w:themeColor="background1" w:themeShade="A6"/>
            </w:tcBorders>
            <w:shd w:val="clear" w:color="auto" w:fill="FBD4B4" w:themeFill="accent6" w:themeFillTint="66"/>
          </w:tcPr>
          <w:p w14:paraId="5FD720D2" w14:textId="77777777" w:rsidR="003A7954" w:rsidRPr="007F204A" w:rsidRDefault="003A7954" w:rsidP="006C1541">
            <w:pPr>
              <w:jc w:val="center"/>
              <w:rPr>
                <w:b/>
                <w:i/>
                <w:sz w:val="20"/>
                <w:szCs w:val="20"/>
              </w:rPr>
            </w:pPr>
          </w:p>
        </w:tc>
        <w:tc>
          <w:tcPr>
            <w:tcW w:w="1701" w:type="dxa"/>
            <w:vMerge/>
            <w:tcBorders>
              <w:top w:val="double" w:sz="4" w:space="0" w:color="A6A6A6" w:themeColor="background1" w:themeShade="A6"/>
              <w:bottom w:val="double" w:sz="4" w:space="0" w:color="A6A6A6" w:themeColor="background1" w:themeShade="A6"/>
            </w:tcBorders>
            <w:shd w:val="clear" w:color="auto" w:fill="FBD4B4" w:themeFill="accent6" w:themeFillTint="66"/>
          </w:tcPr>
          <w:p w14:paraId="5B1303A9" w14:textId="77777777" w:rsidR="003A7954" w:rsidRPr="007F204A" w:rsidRDefault="003A7954" w:rsidP="006C1541">
            <w:pPr>
              <w:jc w:val="center"/>
              <w:rPr>
                <w:b/>
                <w:i/>
                <w:sz w:val="20"/>
                <w:szCs w:val="20"/>
              </w:rPr>
            </w:pPr>
          </w:p>
        </w:tc>
        <w:tc>
          <w:tcPr>
            <w:tcW w:w="3260" w:type="dxa"/>
            <w:vMerge/>
            <w:tcBorders>
              <w:bottom w:val="double" w:sz="4" w:space="0" w:color="A6A6A6" w:themeColor="background1" w:themeShade="A6"/>
            </w:tcBorders>
            <w:shd w:val="clear" w:color="auto" w:fill="FBD4B4" w:themeFill="accent6" w:themeFillTint="66"/>
          </w:tcPr>
          <w:p w14:paraId="03804F67" w14:textId="77777777" w:rsidR="003A7954" w:rsidRPr="007F204A" w:rsidRDefault="003A7954" w:rsidP="006C1541">
            <w:pPr>
              <w:jc w:val="center"/>
              <w:rPr>
                <w:b/>
                <w:i/>
                <w:sz w:val="20"/>
                <w:szCs w:val="20"/>
              </w:rPr>
            </w:pPr>
          </w:p>
        </w:tc>
        <w:tc>
          <w:tcPr>
            <w:tcW w:w="284" w:type="dxa"/>
            <w:vMerge/>
            <w:tcBorders>
              <w:top w:val="double" w:sz="4" w:space="0" w:color="A6A6A6" w:themeColor="background1" w:themeShade="A6"/>
              <w:bottom w:val="double" w:sz="4" w:space="0" w:color="FFFFFF" w:themeColor="background1"/>
              <w:right w:val="double" w:sz="4" w:space="0" w:color="BFBFBF" w:themeColor="background1" w:themeShade="BF"/>
            </w:tcBorders>
            <w:shd w:val="clear" w:color="auto" w:fill="auto"/>
          </w:tcPr>
          <w:p w14:paraId="6C72D032" w14:textId="77777777" w:rsidR="003A7954" w:rsidRPr="007F204A" w:rsidRDefault="003A7954" w:rsidP="006C1541">
            <w:pPr>
              <w:jc w:val="center"/>
              <w:rPr>
                <w:b/>
                <w:i/>
                <w:sz w:val="20"/>
                <w:szCs w:val="20"/>
              </w:rPr>
            </w:pPr>
          </w:p>
        </w:tc>
        <w:tc>
          <w:tcPr>
            <w:tcW w:w="269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tcPr>
          <w:p w14:paraId="0BAA0DB2" w14:textId="2A3A77B9" w:rsidR="003A7954" w:rsidRPr="0069273C" w:rsidRDefault="003A7954" w:rsidP="006C1541">
            <w:pPr>
              <w:rPr>
                <w:sz w:val="20"/>
                <w:szCs w:val="20"/>
              </w:rPr>
            </w:pPr>
          </w:p>
        </w:tc>
        <w:tc>
          <w:tcPr>
            <w:tcW w:w="184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tcPr>
          <w:p w14:paraId="15DC1F23" w14:textId="3B2335CA" w:rsidR="003A7954" w:rsidRPr="00C22536" w:rsidRDefault="003A7954" w:rsidP="006C1541">
            <w:pPr>
              <w:jc w:val="center"/>
              <w:rPr>
                <w:sz w:val="20"/>
                <w:szCs w:val="20"/>
              </w:rPr>
            </w:pPr>
          </w:p>
        </w:tc>
      </w:tr>
      <w:tr w:rsidR="003A7954" w:rsidRPr="007F204A" w14:paraId="31BFE14A" w14:textId="77777777" w:rsidTr="003A7954">
        <w:tc>
          <w:tcPr>
            <w:tcW w:w="3198" w:type="dxa"/>
            <w:shd w:val="clear" w:color="auto" w:fill="F2F2F2" w:themeFill="background1" w:themeFillShade="F2"/>
          </w:tcPr>
          <w:p w14:paraId="6A10F564" w14:textId="2314AA04" w:rsidR="003A7954" w:rsidRPr="007425AD" w:rsidRDefault="003A7954" w:rsidP="006C1541">
            <w:pPr>
              <w:rPr>
                <w:b/>
                <w:sz w:val="20"/>
                <w:szCs w:val="20"/>
              </w:rPr>
            </w:pPr>
          </w:p>
        </w:tc>
        <w:tc>
          <w:tcPr>
            <w:tcW w:w="2693" w:type="dxa"/>
          </w:tcPr>
          <w:p w14:paraId="27A2E987" w14:textId="528713EF" w:rsidR="003A7954" w:rsidRPr="007F204A" w:rsidRDefault="003A7954" w:rsidP="006C1541">
            <w:pPr>
              <w:rPr>
                <w:sz w:val="20"/>
                <w:szCs w:val="20"/>
              </w:rPr>
            </w:pPr>
          </w:p>
        </w:tc>
        <w:tc>
          <w:tcPr>
            <w:tcW w:w="1701" w:type="dxa"/>
          </w:tcPr>
          <w:p w14:paraId="2FE59E9C" w14:textId="1052C61E" w:rsidR="003A7954" w:rsidRPr="007F204A" w:rsidRDefault="003A7954" w:rsidP="006C1541">
            <w:pPr>
              <w:jc w:val="center"/>
              <w:rPr>
                <w:sz w:val="20"/>
                <w:szCs w:val="20"/>
              </w:rPr>
            </w:pPr>
          </w:p>
        </w:tc>
        <w:tc>
          <w:tcPr>
            <w:tcW w:w="3260" w:type="dxa"/>
            <w:shd w:val="clear" w:color="auto" w:fill="auto"/>
          </w:tcPr>
          <w:p w14:paraId="170293DA" w14:textId="77777777" w:rsidR="003A7954" w:rsidRPr="007F204A" w:rsidRDefault="003A7954" w:rsidP="006C1541">
            <w:pPr>
              <w:rPr>
                <w:sz w:val="20"/>
                <w:szCs w:val="20"/>
              </w:rPr>
            </w:pPr>
          </w:p>
        </w:tc>
        <w:tc>
          <w:tcPr>
            <w:tcW w:w="284" w:type="dxa"/>
            <w:tcBorders>
              <w:top w:val="double" w:sz="4" w:space="0" w:color="FFFFFF" w:themeColor="background1"/>
              <w:bottom w:val="double" w:sz="4" w:space="0" w:color="FFFFFF" w:themeColor="background1"/>
              <w:right w:val="double" w:sz="4" w:space="0" w:color="BFBFBF" w:themeColor="background1" w:themeShade="BF"/>
            </w:tcBorders>
          </w:tcPr>
          <w:p w14:paraId="58EEC91E" w14:textId="77777777" w:rsidR="003A7954" w:rsidRPr="007F204A" w:rsidRDefault="003A7954" w:rsidP="006C1541">
            <w:pPr>
              <w:rPr>
                <w:sz w:val="20"/>
                <w:szCs w:val="20"/>
              </w:rPr>
            </w:pPr>
          </w:p>
        </w:tc>
        <w:tc>
          <w:tcPr>
            <w:tcW w:w="269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tcPr>
          <w:p w14:paraId="5BA66335" w14:textId="48187660" w:rsidR="003A7954" w:rsidRPr="002B6DFD" w:rsidRDefault="003A7954" w:rsidP="006C1541">
            <w:pPr>
              <w:rPr>
                <w:sz w:val="20"/>
                <w:szCs w:val="20"/>
              </w:rPr>
            </w:pPr>
          </w:p>
        </w:tc>
        <w:tc>
          <w:tcPr>
            <w:tcW w:w="184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tcPr>
          <w:p w14:paraId="1938C3E5" w14:textId="77777777" w:rsidR="003A7954" w:rsidRPr="002B6DFD" w:rsidRDefault="003A7954" w:rsidP="006C1541">
            <w:pPr>
              <w:jc w:val="center"/>
              <w:rPr>
                <w:sz w:val="20"/>
                <w:szCs w:val="20"/>
              </w:rPr>
            </w:pPr>
          </w:p>
        </w:tc>
      </w:tr>
      <w:tr w:rsidR="003A7954" w:rsidRPr="007F204A" w14:paraId="4FB685CE" w14:textId="77777777" w:rsidTr="003A7954">
        <w:tc>
          <w:tcPr>
            <w:tcW w:w="3198" w:type="dxa"/>
            <w:tcBorders>
              <w:bottom w:val="double" w:sz="4" w:space="0" w:color="A6A6A6" w:themeColor="background1" w:themeShade="A6"/>
            </w:tcBorders>
            <w:shd w:val="clear" w:color="auto" w:fill="F2F2F2" w:themeFill="background1" w:themeFillShade="F2"/>
          </w:tcPr>
          <w:p w14:paraId="29329718" w14:textId="0FBFDBD2" w:rsidR="003A7954" w:rsidRPr="007425AD" w:rsidRDefault="003A7954" w:rsidP="006C1541">
            <w:pPr>
              <w:rPr>
                <w:b/>
                <w:sz w:val="20"/>
                <w:szCs w:val="20"/>
              </w:rPr>
            </w:pPr>
          </w:p>
        </w:tc>
        <w:tc>
          <w:tcPr>
            <w:tcW w:w="2693" w:type="dxa"/>
            <w:tcBorders>
              <w:bottom w:val="double" w:sz="4" w:space="0" w:color="A6A6A6" w:themeColor="background1" w:themeShade="A6"/>
            </w:tcBorders>
          </w:tcPr>
          <w:p w14:paraId="14DB4AF0" w14:textId="6ACB2E65" w:rsidR="003A7954" w:rsidRDefault="003A7954" w:rsidP="006C1541">
            <w:pPr>
              <w:rPr>
                <w:sz w:val="20"/>
                <w:szCs w:val="20"/>
              </w:rPr>
            </w:pPr>
          </w:p>
        </w:tc>
        <w:tc>
          <w:tcPr>
            <w:tcW w:w="1701" w:type="dxa"/>
            <w:tcBorders>
              <w:bottom w:val="double" w:sz="4" w:space="0" w:color="A6A6A6" w:themeColor="background1" w:themeShade="A6"/>
            </w:tcBorders>
          </w:tcPr>
          <w:p w14:paraId="3BD69D26" w14:textId="1681ADE0" w:rsidR="003A7954" w:rsidRPr="007F204A" w:rsidRDefault="003A7954" w:rsidP="006C1541">
            <w:pPr>
              <w:jc w:val="center"/>
              <w:rPr>
                <w:sz w:val="20"/>
                <w:szCs w:val="20"/>
              </w:rPr>
            </w:pPr>
          </w:p>
        </w:tc>
        <w:tc>
          <w:tcPr>
            <w:tcW w:w="3260" w:type="dxa"/>
            <w:tcBorders>
              <w:bottom w:val="double" w:sz="4" w:space="0" w:color="A6A6A6" w:themeColor="background1" w:themeShade="A6"/>
            </w:tcBorders>
            <w:shd w:val="clear" w:color="auto" w:fill="auto"/>
          </w:tcPr>
          <w:p w14:paraId="33578AFB" w14:textId="48F267B7" w:rsidR="003A7954" w:rsidRPr="007F204A" w:rsidRDefault="003A7954" w:rsidP="006C1541">
            <w:pPr>
              <w:rPr>
                <w:sz w:val="20"/>
                <w:szCs w:val="20"/>
              </w:rPr>
            </w:pPr>
          </w:p>
        </w:tc>
        <w:tc>
          <w:tcPr>
            <w:tcW w:w="284" w:type="dxa"/>
            <w:tcBorders>
              <w:top w:val="double" w:sz="4" w:space="0" w:color="FFFFFF" w:themeColor="background1"/>
              <w:bottom w:val="double" w:sz="4" w:space="0" w:color="FFFFFF" w:themeColor="background1"/>
              <w:right w:val="nil"/>
            </w:tcBorders>
          </w:tcPr>
          <w:p w14:paraId="407B804C" w14:textId="77777777" w:rsidR="003A7954" w:rsidRPr="007F204A" w:rsidRDefault="003A7954" w:rsidP="006C1541">
            <w:pPr>
              <w:rPr>
                <w:sz w:val="20"/>
                <w:szCs w:val="20"/>
              </w:rPr>
            </w:pPr>
          </w:p>
        </w:tc>
        <w:tc>
          <w:tcPr>
            <w:tcW w:w="2693" w:type="dxa"/>
            <w:tcBorders>
              <w:top w:val="double" w:sz="4" w:space="0" w:color="BFBFBF" w:themeColor="background1" w:themeShade="BF"/>
              <w:left w:val="nil"/>
              <w:bottom w:val="nil"/>
              <w:right w:val="nil"/>
            </w:tcBorders>
            <w:shd w:val="clear" w:color="auto" w:fill="auto"/>
          </w:tcPr>
          <w:p w14:paraId="5CF5B787" w14:textId="77777777" w:rsidR="003A7954" w:rsidRPr="0069273C" w:rsidRDefault="003A7954" w:rsidP="006C1541">
            <w:pPr>
              <w:rPr>
                <w:sz w:val="20"/>
                <w:szCs w:val="20"/>
              </w:rPr>
            </w:pPr>
          </w:p>
        </w:tc>
        <w:tc>
          <w:tcPr>
            <w:tcW w:w="1843" w:type="dxa"/>
            <w:tcBorders>
              <w:top w:val="double" w:sz="4" w:space="0" w:color="BFBFBF" w:themeColor="background1" w:themeShade="BF"/>
              <w:left w:val="nil"/>
              <w:bottom w:val="nil"/>
              <w:right w:val="nil"/>
            </w:tcBorders>
            <w:shd w:val="clear" w:color="auto" w:fill="auto"/>
          </w:tcPr>
          <w:p w14:paraId="598EA0AA" w14:textId="77777777" w:rsidR="003A7954" w:rsidRPr="007F204A" w:rsidRDefault="003A7954" w:rsidP="006C1541">
            <w:pPr>
              <w:rPr>
                <w:sz w:val="20"/>
                <w:szCs w:val="20"/>
              </w:rPr>
            </w:pPr>
          </w:p>
        </w:tc>
      </w:tr>
      <w:tr w:rsidR="003A7954" w:rsidRPr="007F204A" w14:paraId="46F81A6A" w14:textId="77777777" w:rsidTr="003A7954">
        <w:trPr>
          <w:trHeight w:val="110"/>
        </w:trPr>
        <w:tc>
          <w:tcPr>
            <w:tcW w:w="3198" w:type="dxa"/>
            <w:tcBorders>
              <w:bottom w:val="double" w:sz="4" w:space="0" w:color="A6A6A6" w:themeColor="background1" w:themeShade="A6"/>
            </w:tcBorders>
            <w:shd w:val="clear" w:color="auto" w:fill="F2F2F2" w:themeFill="background1" w:themeFillShade="F2"/>
          </w:tcPr>
          <w:p w14:paraId="283806D4" w14:textId="644B6BC3" w:rsidR="003A7954" w:rsidRDefault="003A7954" w:rsidP="006C1541">
            <w:pPr>
              <w:rPr>
                <w:b/>
                <w:sz w:val="20"/>
                <w:szCs w:val="20"/>
              </w:rPr>
            </w:pPr>
          </w:p>
        </w:tc>
        <w:tc>
          <w:tcPr>
            <w:tcW w:w="2693" w:type="dxa"/>
            <w:tcBorders>
              <w:bottom w:val="double" w:sz="4" w:space="0" w:color="A6A6A6" w:themeColor="background1" w:themeShade="A6"/>
            </w:tcBorders>
          </w:tcPr>
          <w:p w14:paraId="086AC870" w14:textId="6F31CB26" w:rsidR="003A7954" w:rsidRDefault="003A7954" w:rsidP="006C1541">
            <w:pPr>
              <w:rPr>
                <w:sz w:val="20"/>
                <w:szCs w:val="20"/>
              </w:rPr>
            </w:pPr>
          </w:p>
        </w:tc>
        <w:tc>
          <w:tcPr>
            <w:tcW w:w="1701" w:type="dxa"/>
            <w:tcBorders>
              <w:bottom w:val="double" w:sz="4" w:space="0" w:color="A6A6A6" w:themeColor="background1" w:themeShade="A6"/>
            </w:tcBorders>
          </w:tcPr>
          <w:p w14:paraId="039826DD" w14:textId="4E60B5F8" w:rsidR="003A7954" w:rsidRPr="007F204A" w:rsidRDefault="003A7954" w:rsidP="006C1541">
            <w:pPr>
              <w:jc w:val="center"/>
              <w:rPr>
                <w:sz w:val="20"/>
                <w:szCs w:val="20"/>
              </w:rPr>
            </w:pPr>
          </w:p>
        </w:tc>
        <w:tc>
          <w:tcPr>
            <w:tcW w:w="3260" w:type="dxa"/>
            <w:tcBorders>
              <w:bottom w:val="double" w:sz="4" w:space="0" w:color="A6A6A6" w:themeColor="background1" w:themeShade="A6"/>
            </w:tcBorders>
            <w:shd w:val="clear" w:color="auto" w:fill="auto"/>
          </w:tcPr>
          <w:p w14:paraId="7F17AC45" w14:textId="77777777" w:rsidR="003A7954" w:rsidRPr="007F204A" w:rsidRDefault="003A7954" w:rsidP="00BD627E">
            <w:pPr>
              <w:jc w:val="center"/>
              <w:rPr>
                <w:sz w:val="20"/>
                <w:szCs w:val="20"/>
              </w:rPr>
            </w:pPr>
          </w:p>
        </w:tc>
        <w:tc>
          <w:tcPr>
            <w:tcW w:w="284" w:type="dxa"/>
            <w:tcBorders>
              <w:top w:val="double" w:sz="4" w:space="0" w:color="FFFFFF" w:themeColor="background1"/>
              <w:bottom w:val="nil"/>
              <w:right w:val="nil"/>
            </w:tcBorders>
          </w:tcPr>
          <w:p w14:paraId="4A38D7EA" w14:textId="77777777" w:rsidR="003A7954" w:rsidRPr="007F204A" w:rsidRDefault="003A7954" w:rsidP="006C1541">
            <w:pPr>
              <w:rPr>
                <w:sz w:val="20"/>
                <w:szCs w:val="20"/>
              </w:rPr>
            </w:pPr>
          </w:p>
        </w:tc>
        <w:tc>
          <w:tcPr>
            <w:tcW w:w="2693" w:type="dxa"/>
            <w:tcBorders>
              <w:top w:val="nil"/>
              <w:left w:val="nil"/>
              <w:bottom w:val="nil"/>
              <w:right w:val="nil"/>
            </w:tcBorders>
            <w:shd w:val="clear" w:color="auto" w:fill="auto"/>
          </w:tcPr>
          <w:p w14:paraId="01C007CD" w14:textId="77777777" w:rsidR="003A7954" w:rsidRPr="0069273C" w:rsidRDefault="003A7954" w:rsidP="006C1541">
            <w:pPr>
              <w:rPr>
                <w:sz w:val="20"/>
                <w:szCs w:val="20"/>
              </w:rPr>
            </w:pPr>
          </w:p>
        </w:tc>
        <w:tc>
          <w:tcPr>
            <w:tcW w:w="1843" w:type="dxa"/>
            <w:tcBorders>
              <w:top w:val="nil"/>
              <w:left w:val="nil"/>
              <w:bottom w:val="nil"/>
              <w:right w:val="nil"/>
            </w:tcBorders>
            <w:shd w:val="clear" w:color="auto" w:fill="auto"/>
          </w:tcPr>
          <w:p w14:paraId="3EF7E424" w14:textId="77777777" w:rsidR="003A7954" w:rsidRPr="007F204A" w:rsidRDefault="003A7954" w:rsidP="006C1541">
            <w:pPr>
              <w:rPr>
                <w:sz w:val="20"/>
                <w:szCs w:val="20"/>
              </w:rPr>
            </w:pPr>
          </w:p>
        </w:tc>
      </w:tr>
    </w:tbl>
    <w:p w14:paraId="7FDBBBBF" w14:textId="77777777" w:rsidR="00BE0EEB" w:rsidRPr="00BF109D" w:rsidRDefault="00BE0EEB" w:rsidP="00BD627E"/>
    <w:sectPr w:rsidR="00BE0EEB" w:rsidRPr="00BF109D" w:rsidSect="001205DF">
      <w:headerReference w:type="default" r:id="rId8"/>
      <w:footerReference w:type="default" r:id="rId9"/>
      <w:pgSz w:w="16838" w:h="11906" w:orient="landscape" w:code="9"/>
      <w:pgMar w:top="720" w:right="449" w:bottom="720" w:left="720" w:header="419"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EFD3" w14:textId="77777777" w:rsidR="00B860C8" w:rsidRDefault="00B860C8" w:rsidP="00BF109D">
      <w:pPr>
        <w:spacing w:after="0" w:line="240" w:lineRule="auto"/>
      </w:pPr>
      <w:r>
        <w:separator/>
      </w:r>
    </w:p>
  </w:endnote>
  <w:endnote w:type="continuationSeparator" w:id="0">
    <w:p w14:paraId="476D6EC4" w14:textId="77777777" w:rsidR="00B860C8" w:rsidRDefault="00B860C8" w:rsidP="00BF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3F8E" w14:textId="462CEAD0" w:rsidR="006C1541" w:rsidRPr="003E283F" w:rsidRDefault="00CF3535">
    <w:pPr>
      <w:pStyle w:val="Footer"/>
      <w:rPr>
        <w:i/>
        <w:sz w:val="16"/>
      </w:rPr>
    </w:pPr>
    <w:r>
      <w:rPr>
        <w:i/>
        <w:sz w:val="16"/>
      </w:rPr>
      <w:tab/>
    </w:r>
    <w:r w:rsidR="006C1541">
      <w:rPr>
        <w:i/>
        <w:sz w:val="16"/>
      </w:rPr>
      <w:tab/>
    </w:r>
    <w:r w:rsidR="006C1541">
      <w:rPr>
        <w:i/>
        <w:sz w:val="16"/>
      </w:rPr>
      <w:tab/>
    </w:r>
    <w:r w:rsidR="006C1541" w:rsidRPr="003E283F">
      <w:rPr>
        <w:sz w:val="16"/>
      </w:rPr>
      <w:tab/>
    </w:r>
    <w:r w:rsidR="006C1541" w:rsidRPr="003E283F">
      <w:rPr>
        <w:sz w:val="16"/>
      </w:rPr>
      <w:tab/>
    </w:r>
    <w:r w:rsidR="006C1541" w:rsidRPr="003E283F">
      <w:rPr>
        <w:sz w:val="16"/>
      </w:rPr>
      <w:tab/>
    </w:r>
    <w:r w:rsidR="006C1541" w:rsidRPr="003E283F">
      <w:rPr>
        <w:sz w:val="16"/>
      </w:rPr>
      <w:tab/>
    </w:r>
    <w:r w:rsidR="006C1541" w:rsidRPr="003E283F">
      <w:rPr>
        <w:sz w:val="16"/>
      </w:rPr>
      <w:tab/>
    </w:r>
    <w:r w:rsidR="006C1541" w:rsidRPr="003E283F">
      <w:rPr>
        <w:sz w:val="16"/>
      </w:rPr>
      <w:tab/>
      <w:t xml:space="preserve">Page </w:t>
    </w:r>
    <w:r w:rsidR="006C1541" w:rsidRPr="003E283F">
      <w:rPr>
        <w:sz w:val="16"/>
      </w:rPr>
      <w:fldChar w:fldCharType="begin"/>
    </w:r>
    <w:r w:rsidR="006C1541" w:rsidRPr="003E283F">
      <w:rPr>
        <w:sz w:val="16"/>
      </w:rPr>
      <w:instrText xml:space="preserve"> PAGE   \* MERGEFORMAT </w:instrText>
    </w:r>
    <w:r w:rsidR="006C1541" w:rsidRPr="003E283F">
      <w:rPr>
        <w:sz w:val="16"/>
      </w:rPr>
      <w:fldChar w:fldCharType="separate"/>
    </w:r>
    <w:r w:rsidR="006C1541">
      <w:rPr>
        <w:noProof/>
        <w:sz w:val="16"/>
      </w:rPr>
      <w:t>8</w:t>
    </w:r>
    <w:r w:rsidR="006C1541" w:rsidRPr="003E283F">
      <w:rPr>
        <w:sz w:val="16"/>
      </w:rPr>
      <w:fldChar w:fldCharType="end"/>
    </w:r>
    <w:r w:rsidR="006C1541" w:rsidRPr="003E283F">
      <w:rPr>
        <w:sz w:val="16"/>
      </w:rPr>
      <w:t xml:space="preserve"> of </w:t>
    </w:r>
    <w:r w:rsidR="006C1541" w:rsidRPr="003E283F">
      <w:rPr>
        <w:sz w:val="16"/>
      </w:rPr>
      <w:fldChar w:fldCharType="begin"/>
    </w:r>
    <w:r w:rsidR="006C1541" w:rsidRPr="003E283F">
      <w:rPr>
        <w:sz w:val="16"/>
      </w:rPr>
      <w:instrText xml:space="preserve"> NUMPAGES   \* MERGEFORMAT </w:instrText>
    </w:r>
    <w:r w:rsidR="006C1541" w:rsidRPr="003E283F">
      <w:rPr>
        <w:sz w:val="16"/>
      </w:rPr>
      <w:fldChar w:fldCharType="separate"/>
    </w:r>
    <w:r w:rsidR="006C1541">
      <w:rPr>
        <w:noProof/>
        <w:sz w:val="16"/>
      </w:rPr>
      <w:t>9</w:t>
    </w:r>
    <w:r w:rsidR="006C1541" w:rsidRPr="003E283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BEBC" w14:textId="77777777" w:rsidR="00B860C8" w:rsidRDefault="00B860C8" w:rsidP="00BF109D">
      <w:pPr>
        <w:spacing w:after="0" w:line="240" w:lineRule="auto"/>
      </w:pPr>
      <w:r>
        <w:separator/>
      </w:r>
    </w:p>
  </w:footnote>
  <w:footnote w:type="continuationSeparator" w:id="0">
    <w:p w14:paraId="410A6B4C" w14:textId="77777777" w:rsidR="00B860C8" w:rsidRDefault="00B860C8" w:rsidP="00BF1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89BC" w14:textId="24A764DB" w:rsidR="006C1541" w:rsidRDefault="006C1541" w:rsidP="00E55256">
    <w:pPr>
      <w:ind w:right="219"/>
      <w:rPr>
        <w:rFonts w:ascii="Verdana" w:hAnsi="Verdana"/>
        <w:b/>
        <w:color w:val="A6A6A6" w:themeColor="background1" w:themeShade="A6"/>
      </w:rPr>
    </w:pPr>
    <w:r w:rsidRPr="007E6134">
      <w:rPr>
        <w:rFonts w:ascii="Verdana" w:hAnsi="Verdana"/>
        <w:b/>
        <w:noProof/>
        <w:color w:val="808080" w:themeColor="background1" w:themeShade="80"/>
        <w:sz w:val="24"/>
        <w:lang w:eastAsia="en-GB"/>
      </w:rPr>
      <w:t>RSH</w:t>
    </w:r>
    <w:r w:rsidRPr="007E6134">
      <w:rPr>
        <w:rFonts w:ascii="Verdana" w:hAnsi="Verdana"/>
        <w:b/>
        <w:color w:val="808080" w:themeColor="background1" w:themeShade="80"/>
        <w:sz w:val="24"/>
      </w:rPr>
      <w:t xml:space="preserve"> National standards compliance summary – Rent Standard </w:t>
    </w:r>
    <w:r w:rsidRPr="001135F8">
      <w:rPr>
        <w:rFonts w:ascii="Verdana" w:hAnsi="Verdana"/>
        <w:b/>
        <w:color w:val="E36C0A" w:themeColor="accent6" w:themeShade="BF"/>
        <w:sz w:val="24"/>
      </w:rPr>
      <w:tab/>
    </w:r>
    <w:r>
      <w:rPr>
        <w:rFonts w:ascii="Verdana" w:hAnsi="Verdana"/>
        <w:b/>
        <w:color w:val="E36C0A" w:themeColor="accent6" w:themeShade="BF"/>
        <w:sz w:val="20"/>
      </w:rPr>
      <w:tab/>
      <w:t xml:space="preserve">    </w:t>
    </w:r>
    <w:r>
      <w:rPr>
        <w:rFonts w:ascii="Verdana" w:hAnsi="Verdana"/>
        <w:b/>
        <w:color w:val="E36C0A" w:themeColor="accent6" w:themeShade="BF"/>
        <w:sz w:val="20"/>
      </w:rPr>
      <w:tab/>
    </w:r>
    <w:r>
      <w:rPr>
        <w:rFonts w:ascii="Verdana" w:hAnsi="Verdana"/>
        <w:b/>
        <w:color w:val="E36C0A" w:themeColor="accent6" w:themeShade="BF"/>
        <w:sz w:val="20"/>
      </w:rPr>
      <w:tab/>
    </w:r>
    <w:r>
      <w:rPr>
        <w:rFonts w:ascii="Verdana" w:hAnsi="Verdana"/>
        <w:b/>
        <w:color w:val="E36C0A" w:themeColor="accent6" w:themeShade="BF"/>
        <w:sz w:val="20"/>
      </w:rPr>
      <w:tab/>
    </w:r>
    <w:r>
      <w:rPr>
        <w:rFonts w:ascii="Verdana" w:hAnsi="Verdana"/>
        <w:b/>
        <w:color w:val="E36C0A" w:themeColor="accent6" w:themeShade="BF"/>
        <w:sz w:val="20"/>
      </w:rPr>
      <w:tab/>
    </w:r>
    <w:r w:rsidR="00E55256">
      <w:rPr>
        <w:rFonts w:ascii="Verdana" w:hAnsi="Verdana"/>
        <w:b/>
        <w:color w:val="808080" w:themeColor="background1" w:themeShade="80"/>
      </w:rPr>
      <w:t xml:space="preserve">Quarter </w:t>
    </w:r>
    <w:r w:rsidR="006200FA">
      <w:rPr>
        <w:rFonts w:ascii="Verdana" w:hAnsi="Verdana"/>
        <w:b/>
        <w:color w:val="808080" w:themeColor="background1" w:themeShade="80"/>
      </w:rPr>
      <w:t>4</w:t>
    </w:r>
    <w:r w:rsidR="00E55256">
      <w:rPr>
        <w:rFonts w:ascii="Verdana" w:hAnsi="Verdana"/>
        <w:b/>
        <w:color w:val="808080" w:themeColor="background1" w:themeShade="80"/>
      </w:rPr>
      <w:t xml:space="preserve">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016"/>
    <w:multiLevelType w:val="hybridMultilevel"/>
    <w:tmpl w:val="988CBB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17509E"/>
    <w:multiLevelType w:val="hybridMultilevel"/>
    <w:tmpl w:val="F348B7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3D7C09"/>
    <w:multiLevelType w:val="hybridMultilevel"/>
    <w:tmpl w:val="78D27F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8713BC"/>
    <w:multiLevelType w:val="hybridMultilevel"/>
    <w:tmpl w:val="C68C7430"/>
    <w:lvl w:ilvl="0" w:tplc="1DACC436">
      <w:start w:val="3"/>
      <w:numFmt w:val="bullet"/>
      <w:lvlText w:val="-"/>
      <w:lvlJc w:val="left"/>
      <w:pPr>
        <w:ind w:left="360" w:hanging="360"/>
      </w:pPr>
      <w:rPr>
        <w:rFonts w:ascii="Verdana" w:eastAsia="Times New Roman"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C000C"/>
    <w:multiLevelType w:val="hybridMultilevel"/>
    <w:tmpl w:val="EEF4C872"/>
    <w:lvl w:ilvl="0" w:tplc="C1626A6A">
      <w:start w:val="1"/>
      <w:numFmt w:val="bullet"/>
      <w:lvlText w:val=""/>
      <w:lvlJc w:val="left"/>
      <w:pPr>
        <w:ind w:left="360" w:hanging="360"/>
      </w:pPr>
      <w:rPr>
        <w:rFonts w:ascii="Symbol" w:hAnsi="Symbol" w:hint="default"/>
        <w:b/>
        <w:i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70075"/>
    <w:multiLevelType w:val="hybridMultilevel"/>
    <w:tmpl w:val="289E8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722F14"/>
    <w:multiLevelType w:val="hybridMultilevel"/>
    <w:tmpl w:val="B6BCC5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120654"/>
    <w:multiLevelType w:val="hybridMultilevel"/>
    <w:tmpl w:val="4C802BA6"/>
    <w:lvl w:ilvl="0" w:tplc="333E213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1B7B7409"/>
    <w:multiLevelType w:val="hybridMultilevel"/>
    <w:tmpl w:val="837464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E53A83"/>
    <w:multiLevelType w:val="hybridMultilevel"/>
    <w:tmpl w:val="C918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D6ACC"/>
    <w:multiLevelType w:val="hybridMultilevel"/>
    <w:tmpl w:val="E1B8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03016"/>
    <w:multiLevelType w:val="hybridMultilevel"/>
    <w:tmpl w:val="178CA8D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334649"/>
    <w:multiLevelType w:val="hybridMultilevel"/>
    <w:tmpl w:val="01E4EF56"/>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0F4005"/>
    <w:multiLevelType w:val="hybridMultilevel"/>
    <w:tmpl w:val="64545154"/>
    <w:lvl w:ilvl="0" w:tplc="333E213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2478408E"/>
    <w:multiLevelType w:val="hybridMultilevel"/>
    <w:tmpl w:val="345E4314"/>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C214E2"/>
    <w:multiLevelType w:val="hybridMultilevel"/>
    <w:tmpl w:val="B18865C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7474D8"/>
    <w:multiLevelType w:val="hybridMultilevel"/>
    <w:tmpl w:val="CB9A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F2E4A"/>
    <w:multiLevelType w:val="hybridMultilevel"/>
    <w:tmpl w:val="03F41B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196023"/>
    <w:multiLevelType w:val="hybridMultilevel"/>
    <w:tmpl w:val="CFF450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6E78AC"/>
    <w:multiLevelType w:val="hybridMultilevel"/>
    <w:tmpl w:val="69D4488E"/>
    <w:lvl w:ilvl="0" w:tplc="C1626A6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72B59"/>
    <w:multiLevelType w:val="hybridMultilevel"/>
    <w:tmpl w:val="DC9A8F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2E006E9"/>
    <w:multiLevelType w:val="hybridMultilevel"/>
    <w:tmpl w:val="6CF08B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334492"/>
    <w:multiLevelType w:val="hybridMultilevel"/>
    <w:tmpl w:val="CDF237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3026B1"/>
    <w:multiLevelType w:val="hybridMultilevel"/>
    <w:tmpl w:val="FDEE2BD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116DB7"/>
    <w:multiLevelType w:val="hybridMultilevel"/>
    <w:tmpl w:val="CBECB5C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B673066"/>
    <w:multiLevelType w:val="hybridMultilevel"/>
    <w:tmpl w:val="11BE22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0D47B5"/>
    <w:multiLevelType w:val="hybridMultilevel"/>
    <w:tmpl w:val="6582CC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58F4347"/>
    <w:multiLevelType w:val="hybridMultilevel"/>
    <w:tmpl w:val="87EE2A7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2D66F8"/>
    <w:multiLevelType w:val="hybridMultilevel"/>
    <w:tmpl w:val="857E95E6"/>
    <w:lvl w:ilvl="0" w:tplc="333E213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4735748D"/>
    <w:multiLevelType w:val="hybridMultilevel"/>
    <w:tmpl w:val="4F748E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93A7FBF"/>
    <w:multiLevelType w:val="hybridMultilevel"/>
    <w:tmpl w:val="0F547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F75534"/>
    <w:multiLevelType w:val="hybridMultilevel"/>
    <w:tmpl w:val="FF586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BB151C"/>
    <w:multiLevelType w:val="hybridMultilevel"/>
    <w:tmpl w:val="13028754"/>
    <w:lvl w:ilvl="0" w:tplc="C1626A6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4520A"/>
    <w:multiLevelType w:val="hybridMultilevel"/>
    <w:tmpl w:val="570E24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CC5B50"/>
    <w:multiLevelType w:val="hybridMultilevel"/>
    <w:tmpl w:val="2340CD90"/>
    <w:lvl w:ilvl="0" w:tplc="C1626A6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6D6184"/>
    <w:multiLevelType w:val="hybridMultilevel"/>
    <w:tmpl w:val="63E0F734"/>
    <w:lvl w:ilvl="0" w:tplc="333E213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6" w15:restartNumberingAfterBreak="0">
    <w:nsid w:val="5FD36D31"/>
    <w:multiLevelType w:val="hybridMultilevel"/>
    <w:tmpl w:val="0860B036"/>
    <w:lvl w:ilvl="0" w:tplc="333E213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7" w15:restartNumberingAfterBreak="0">
    <w:nsid w:val="66E6428C"/>
    <w:multiLevelType w:val="hybridMultilevel"/>
    <w:tmpl w:val="354CF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DC2AEC"/>
    <w:multiLevelType w:val="hybridMultilevel"/>
    <w:tmpl w:val="B678CC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B451686"/>
    <w:multiLevelType w:val="hybridMultilevel"/>
    <w:tmpl w:val="8A2E85D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DED7AEB"/>
    <w:multiLevelType w:val="hybridMultilevel"/>
    <w:tmpl w:val="AC6E88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052C41"/>
    <w:multiLevelType w:val="hybridMultilevel"/>
    <w:tmpl w:val="CC7E88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DF1EBB"/>
    <w:multiLevelType w:val="hybridMultilevel"/>
    <w:tmpl w:val="6DCA65CC"/>
    <w:lvl w:ilvl="0" w:tplc="333E213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3" w15:restartNumberingAfterBreak="0">
    <w:nsid w:val="7C150E15"/>
    <w:multiLevelType w:val="hybridMultilevel"/>
    <w:tmpl w:val="28AE1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4A60B9"/>
    <w:multiLevelType w:val="hybridMultilevel"/>
    <w:tmpl w:val="0BD40A30"/>
    <w:lvl w:ilvl="0" w:tplc="333E213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5" w15:restartNumberingAfterBreak="0">
    <w:nsid w:val="7DA73BA0"/>
    <w:multiLevelType w:val="hybridMultilevel"/>
    <w:tmpl w:val="7220A6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E0E2B34"/>
    <w:multiLevelType w:val="hybridMultilevel"/>
    <w:tmpl w:val="5C44054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D917D5"/>
    <w:multiLevelType w:val="hybridMultilevel"/>
    <w:tmpl w:val="F94A3B6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F000609"/>
    <w:multiLevelType w:val="hybridMultilevel"/>
    <w:tmpl w:val="6C3CC2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44"/>
  </w:num>
  <w:num w:numId="3">
    <w:abstractNumId w:val="7"/>
  </w:num>
  <w:num w:numId="4">
    <w:abstractNumId w:val="28"/>
  </w:num>
  <w:num w:numId="5">
    <w:abstractNumId w:val="35"/>
  </w:num>
  <w:num w:numId="6">
    <w:abstractNumId w:val="13"/>
  </w:num>
  <w:num w:numId="7">
    <w:abstractNumId w:val="42"/>
  </w:num>
  <w:num w:numId="8">
    <w:abstractNumId w:val="43"/>
  </w:num>
  <w:num w:numId="9">
    <w:abstractNumId w:val="5"/>
  </w:num>
  <w:num w:numId="10">
    <w:abstractNumId w:val="33"/>
  </w:num>
  <w:num w:numId="11">
    <w:abstractNumId w:val="20"/>
  </w:num>
  <w:num w:numId="12">
    <w:abstractNumId w:val="47"/>
  </w:num>
  <w:num w:numId="13">
    <w:abstractNumId w:val="21"/>
  </w:num>
  <w:num w:numId="14">
    <w:abstractNumId w:val="3"/>
  </w:num>
  <w:num w:numId="15">
    <w:abstractNumId w:val="10"/>
  </w:num>
  <w:num w:numId="16">
    <w:abstractNumId w:val="30"/>
  </w:num>
  <w:num w:numId="17">
    <w:abstractNumId w:val="34"/>
  </w:num>
  <w:num w:numId="18">
    <w:abstractNumId w:val="4"/>
  </w:num>
  <w:num w:numId="19">
    <w:abstractNumId w:val="19"/>
  </w:num>
  <w:num w:numId="20">
    <w:abstractNumId w:val="14"/>
  </w:num>
  <w:num w:numId="21">
    <w:abstractNumId w:val="32"/>
  </w:num>
  <w:num w:numId="22">
    <w:abstractNumId w:val="12"/>
  </w:num>
  <w:num w:numId="23">
    <w:abstractNumId w:val="37"/>
  </w:num>
  <w:num w:numId="24">
    <w:abstractNumId w:val="16"/>
  </w:num>
  <w:num w:numId="25">
    <w:abstractNumId w:val="9"/>
  </w:num>
  <w:num w:numId="26">
    <w:abstractNumId w:val="31"/>
  </w:num>
  <w:num w:numId="27">
    <w:abstractNumId w:val="22"/>
  </w:num>
  <w:num w:numId="28">
    <w:abstractNumId w:val="25"/>
  </w:num>
  <w:num w:numId="29">
    <w:abstractNumId w:val="11"/>
  </w:num>
  <w:num w:numId="30">
    <w:abstractNumId w:val="8"/>
  </w:num>
  <w:num w:numId="31">
    <w:abstractNumId w:val="15"/>
  </w:num>
  <w:num w:numId="32">
    <w:abstractNumId w:val="1"/>
  </w:num>
  <w:num w:numId="33">
    <w:abstractNumId w:val="45"/>
  </w:num>
  <w:num w:numId="34">
    <w:abstractNumId w:val="2"/>
  </w:num>
  <w:num w:numId="35">
    <w:abstractNumId w:val="17"/>
  </w:num>
  <w:num w:numId="36">
    <w:abstractNumId w:val="40"/>
  </w:num>
  <w:num w:numId="37">
    <w:abstractNumId w:val="26"/>
  </w:num>
  <w:num w:numId="38">
    <w:abstractNumId w:val="24"/>
  </w:num>
  <w:num w:numId="39">
    <w:abstractNumId w:val="29"/>
  </w:num>
  <w:num w:numId="40">
    <w:abstractNumId w:val="38"/>
  </w:num>
  <w:num w:numId="41">
    <w:abstractNumId w:val="0"/>
  </w:num>
  <w:num w:numId="42">
    <w:abstractNumId w:val="46"/>
  </w:num>
  <w:num w:numId="43">
    <w:abstractNumId w:val="48"/>
  </w:num>
  <w:num w:numId="44">
    <w:abstractNumId w:val="6"/>
  </w:num>
  <w:num w:numId="45">
    <w:abstractNumId w:val="18"/>
  </w:num>
  <w:num w:numId="46">
    <w:abstractNumId w:val="23"/>
  </w:num>
  <w:num w:numId="47">
    <w:abstractNumId w:val="41"/>
  </w:num>
  <w:num w:numId="48">
    <w:abstractNumId w:val="39"/>
  </w:num>
  <w:num w:numId="4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9D"/>
    <w:rsid w:val="0000105E"/>
    <w:rsid w:val="00014073"/>
    <w:rsid w:val="00036D34"/>
    <w:rsid w:val="000413FD"/>
    <w:rsid w:val="000747B2"/>
    <w:rsid w:val="00080763"/>
    <w:rsid w:val="0008384C"/>
    <w:rsid w:val="000A3E49"/>
    <w:rsid w:val="000B1C9B"/>
    <w:rsid w:val="000E563F"/>
    <w:rsid w:val="001135F8"/>
    <w:rsid w:val="001205DF"/>
    <w:rsid w:val="00122BBD"/>
    <w:rsid w:val="00124EC9"/>
    <w:rsid w:val="00126447"/>
    <w:rsid w:val="00135A33"/>
    <w:rsid w:val="00165303"/>
    <w:rsid w:val="00167A92"/>
    <w:rsid w:val="0017020C"/>
    <w:rsid w:val="001873E7"/>
    <w:rsid w:val="001A1ECC"/>
    <w:rsid w:val="001A7A93"/>
    <w:rsid w:val="001B70FE"/>
    <w:rsid w:val="001C3022"/>
    <w:rsid w:val="001D4740"/>
    <w:rsid w:val="001D7E0C"/>
    <w:rsid w:val="00206D11"/>
    <w:rsid w:val="00261DC9"/>
    <w:rsid w:val="002939D8"/>
    <w:rsid w:val="0029436F"/>
    <w:rsid w:val="002A04D5"/>
    <w:rsid w:val="002A1796"/>
    <w:rsid w:val="002B36DB"/>
    <w:rsid w:val="002B6DFD"/>
    <w:rsid w:val="002C4424"/>
    <w:rsid w:val="002C72CE"/>
    <w:rsid w:val="002C74A8"/>
    <w:rsid w:val="002D340B"/>
    <w:rsid w:val="0031567C"/>
    <w:rsid w:val="00361AC4"/>
    <w:rsid w:val="00387812"/>
    <w:rsid w:val="003A0A4C"/>
    <w:rsid w:val="003A7954"/>
    <w:rsid w:val="003B2C28"/>
    <w:rsid w:val="003B5AAB"/>
    <w:rsid w:val="003D6760"/>
    <w:rsid w:val="003E283F"/>
    <w:rsid w:val="003E65AE"/>
    <w:rsid w:val="003F5CEB"/>
    <w:rsid w:val="00421D1F"/>
    <w:rsid w:val="00497BD2"/>
    <w:rsid w:val="004D2889"/>
    <w:rsid w:val="004D76CB"/>
    <w:rsid w:val="004D7DF6"/>
    <w:rsid w:val="004F10EB"/>
    <w:rsid w:val="004F272A"/>
    <w:rsid w:val="004F6337"/>
    <w:rsid w:val="005044AD"/>
    <w:rsid w:val="005131E0"/>
    <w:rsid w:val="005132DD"/>
    <w:rsid w:val="00562A38"/>
    <w:rsid w:val="00572039"/>
    <w:rsid w:val="005A0F68"/>
    <w:rsid w:val="005A327F"/>
    <w:rsid w:val="005B0404"/>
    <w:rsid w:val="005B39B5"/>
    <w:rsid w:val="005C3A9C"/>
    <w:rsid w:val="005F6723"/>
    <w:rsid w:val="00611251"/>
    <w:rsid w:val="00612138"/>
    <w:rsid w:val="00615735"/>
    <w:rsid w:val="006200FA"/>
    <w:rsid w:val="00621D10"/>
    <w:rsid w:val="00624EC3"/>
    <w:rsid w:val="006334D3"/>
    <w:rsid w:val="0065302F"/>
    <w:rsid w:val="00655F56"/>
    <w:rsid w:val="00657CEB"/>
    <w:rsid w:val="0067383A"/>
    <w:rsid w:val="006855B0"/>
    <w:rsid w:val="00694565"/>
    <w:rsid w:val="006A1C2D"/>
    <w:rsid w:val="006A2F69"/>
    <w:rsid w:val="006B25C2"/>
    <w:rsid w:val="006B5967"/>
    <w:rsid w:val="006C1541"/>
    <w:rsid w:val="006C1C35"/>
    <w:rsid w:val="006C2C79"/>
    <w:rsid w:val="006E0591"/>
    <w:rsid w:val="006E3547"/>
    <w:rsid w:val="007425AD"/>
    <w:rsid w:val="00744113"/>
    <w:rsid w:val="00744AD3"/>
    <w:rsid w:val="007749D8"/>
    <w:rsid w:val="0079220A"/>
    <w:rsid w:val="007B1917"/>
    <w:rsid w:val="007B446F"/>
    <w:rsid w:val="007B613C"/>
    <w:rsid w:val="007B6567"/>
    <w:rsid w:val="007C0E02"/>
    <w:rsid w:val="007C4EAD"/>
    <w:rsid w:val="007D1036"/>
    <w:rsid w:val="007D2D13"/>
    <w:rsid w:val="007E6134"/>
    <w:rsid w:val="007F7972"/>
    <w:rsid w:val="008054B9"/>
    <w:rsid w:val="00807F14"/>
    <w:rsid w:val="00813344"/>
    <w:rsid w:val="00821FFB"/>
    <w:rsid w:val="00830F12"/>
    <w:rsid w:val="00833EEA"/>
    <w:rsid w:val="00836EB0"/>
    <w:rsid w:val="00852DAE"/>
    <w:rsid w:val="008578D4"/>
    <w:rsid w:val="00885919"/>
    <w:rsid w:val="00891C49"/>
    <w:rsid w:val="00896904"/>
    <w:rsid w:val="00897A5D"/>
    <w:rsid w:val="008A787B"/>
    <w:rsid w:val="008B0AA4"/>
    <w:rsid w:val="008B7360"/>
    <w:rsid w:val="008C7B8F"/>
    <w:rsid w:val="008D2FA6"/>
    <w:rsid w:val="008D3A13"/>
    <w:rsid w:val="008E5456"/>
    <w:rsid w:val="009008FE"/>
    <w:rsid w:val="00904A0C"/>
    <w:rsid w:val="009050A7"/>
    <w:rsid w:val="009126A5"/>
    <w:rsid w:val="009140B0"/>
    <w:rsid w:val="0091662D"/>
    <w:rsid w:val="009229A7"/>
    <w:rsid w:val="00925A04"/>
    <w:rsid w:val="00930616"/>
    <w:rsid w:val="00941DB1"/>
    <w:rsid w:val="00944EBF"/>
    <w:rsid w:val="009657DE"/>
    <w:rsid w:val="0096593F"/>
    <w:rsid w:val="00970965"/>
    <w:rsid w:val="0097268B"/>
    <w:rsid w:val="009A1F6A"/>
    <w:rsid w:val="009A3BE4"/>
    <w:rsid w:val="009A6441"/>
    <w:rsid w:val="009C2C0A"/>
    <w:rsid w:val="009E3C80"/>
    <w:rsid w:val="009F3BCB"/>
    <w:rsid w:val="009F5AB2"/>
    <w:rsid w:val="00A0063F"/>
    <w:rsid w:val="00A024A8"/>
    <w:rsid w:val="00A0537D"/>
    <w:rsid w:val="00A259B7"/>
    <w:rsid w:val="00A36760"/>
    <w:rsid w:val="00A377BA"/>
    <w:rsid w:val="00A41CF9"/>
    <w:rsid w:val="00A735F1"/>
    <w:rsid w:val="00A74851"/>
    <w:rsid w:val="00A74C5C"/>
    <w:rsid w:val="00A83521"/>
    <w:rsid w:val="00A836DE"/>
    <w:rsid w:val="00AC74D6"/>
    <w:rsid w:val="00AF0653"/>
    <w:rsid w:val="00B14ABE"/>
    <w:rsid w:val="00B15C45"/>
    <w:rsid w:val="00B37DBF"/>
    <w:rsid w:val="00B4245A"/>
    <w:rsid w:val="00B52F2F"/>
    <w:rsid w:val="00B860C8"/>
    <w:rsid w:val="00BC201B"/>
    <w:rsid w:val="00BD2E8E"/>
    <w:rsid w:val="00BD627E"/>
    <w:rsid w:val="00BD7B84"/>
    <w:rsid w:val="00BE0EEB"/>
    <w:rsid w:val="00BE5E8C"/>
    <w:rsid w:val="00BF109D"/>
    <w:rsid w:val="00C22536"/>
    <w:rsid w:val="00C25141"/>
    <w:rsid w:val="00C2731C"/>
    <w:rsid w:val="00C425AD"/>
    <w:rsid w:val="00C46AC9"/>
    <w:rsid w:val="00C542B5"/>
    <w:rsid w:val="00C56991"/>
    <w:rsid w:val="00C81EC0"/>
    <w:rsid w:val="00C83FDC"/>
    <w:rsid w:val="00CA04EF"/>
    <w:rsid w:val="00CB391A"/>
    <w:rsid w:val="00CB5768"/>
    <w:rsid w:val="00CD108B"/>
    <w:rsid w:val="00CE4B57"/>
    <w:rsid w:val="00CF2225"/>
    <w:rsid w:val="00CF3535"/>
    <w:rsid w:val="00D00429"/>
    <w:rsid w:val="00D02421"/>
    <w:rsid w:val="00D04B36"/>
    <w:rsid w:val="00D23DBE"/>
    <w:rsid w:val="00D42DA7"/>
    <w:rsid w:val="00D634CE"/>
    <w:rsid w:val="00D8450D"/>
    <w:rsid w:val="00DA70DC"/>
    <w:rsid w:val="00DC3394"/>
    <w:rsid w:val="00DC3EA4"/>
    <w:rsid w:val="00DD0B04"/>
    <w:rsid w:val="00DE67A1"/>
    <w:rsid w:val="00DE71A4"/>
    <w:rsid w:val="00DF50F8"/>
    <w:rsid w:val="00E079D3"/>
    <w:rsid w:val="00E21D04"/>
    <w:rsid w:val="00E347AB"/>
    <w:rsid w:val="00E55256"/>
    <w:rsid w:val="00E55E45"/>
    <w:rsid w:val="00E65284"/>
    <w:rsid w:val="00E671E8"/>
    <w:rsid w:val="00E77376"/>
    <w:rsid w:val="00E84A16"/>
    <w:rsid w:val="00EB4997"/>
    <w:rsid w:val="00ED4B83"/>
    <w:rsid w:val="00F01754"/>
    <w:rsid w:val="00F04F76"/>
    <w:rsid w:val="00F22A72"/>
    <w:rsid w:val="00F2711C"/>
    <w:rsid w:val="00F320A3"/>
    <w:rsid w:val="00F45B63"/>
    <w:rsid w:val="00F47B80"/>
    <w:rsid w:val="00F573E6"/>
    <w:rsid w:val="00F616D3"/>
    <w:rsid w:val="00F636CC"/>
    <w:rsid w:val="00F67753"/>
    <w:rsid w:val="00F735CF"/>
    <w:rsid w:val="00F73F09"/>
    <w:rsid w:val="00F8142F"/>
    <w:rsid w:val="00F82175"/>
    <w:rsid w:val="00F84E52"/>
    <w:rsid w:val="00FA5A9F"/>
    <w:rsid w:val="00FA62B1"/>
    <w:rsid w:val="00FA798A"/>
    <w:rsid w:val="00FA7E8C"/>
    <w:rsid w:val="00FF6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FB1117"/>
  <w15:docId w15:val="{9D7476B3-4065-48B4-93B8-0BD95BD9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9D"/>
  </w:style>
  <w:style w:type="paragraph" w:styleId="Footer">
    <w:name w:val="footer"/>
    <w:basedOn w:val="Normal"/>
    <w:link w:val="FooterChar"/>
    <w:uiPriority w:val="99"/>
    <w:unhideWhenUsed/>
    <w:rsid w:val="00BF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9D"/>
  </w:style>
  <w:style w:type="table" w:styleId="TableGrid">
    <w:name w:val="Table Grid"/>
    <w:basedOn w:val="TableNormal"/>
    <w:uiPriority w:val="59"/>
    <w:rsid w:val="00BF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6"/>
    <w:pPr>
      <w:ind w:left="720"/>
      <w:contextualSpacing/>
    </w:pPr>
  </w:style>
  <w:style w:type="paragraph" w:styleId="BalloonText">
    <w:name w:val="Balloon Text"/>
    <w:basedOn w:val="Normal"/>
    <w:link w:val="BalloonTextChar"/>
    <w:uiPriority w:val="99"/>
    <w:semiHidden/>
    <w:unhideWhenUsed/>
    <w:rsid w:val="00D0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29"/>
    <w:rPr>
      <w:rFonts w:ascii="Tahoma" w:hAnsi="Tahoma" w:cs="Tahoma"/>
      <w:sz w:val="16"/>
      <w:szCs w:val="16"/>
    </w:rPr>
  </w:style>
  <w:style w:type="paragraph" w:customStyle="1" w:styleId="Default">
    <w:name w:val="Default"/>
    <w:rsid w:val="00261DC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B7360"/>
    <w:rPr>
      <w:sz w:val="16"/>
      <w:szCs w:val="16"/>
    </w:rPr>
  </w:style>
  <w:style w:type="paragraph" w:styleId="CommentText">
    <w:name w:val="annotation text"/>
    <w:basedOn w:val="Normal"/>
    <w:link w:val="CommentTextChar"/>
    <w:uiPriority w:val="99"/>
    <w:semiHidden/>
    <w:unhideWhenUsed/>
    <w:rsid w:val="008B7360"/>
    <w:pPr>
      <w:spacing w:line="240" w:lineRule="auto"/>
    </w:pPr>
    <w:rPr>
      <w:sz w:val="20"/>
      <w:szCs w:val="20"/>
    </w:rPr>
  </w:style>
  <w:style w:type="character" w:customStyle="1" w:styleId="CommentTextChar">
    <w:name w:val="Comment Text Char"/>
    <w:basedOn w:val="DefaultParagraphFont"/>
    <w:link w:val="CommentText"/>
    <w:uiPriority w:val="99"/>
    <w:semiHidden/>
    <w:rsid w:val="008B7360"/>
    <w:rPr>
      <w:sz w:val="20"/>
      <w:szCs w:val="20"/>
    </w:rPr>
  </w:style>
  <w:style w:type="paragraph" w:styleId="CommentSubject">
    <w:name w:val="annotation subject"/>
    <w:basedOn w:val="CommentText"/>
    <w:next w:val="CommentText"/>
    <w:link w:val="CommentSubjectChar"/>
    <w:uiPriority w:val="99"/>
    <w:semiHidden/>
    <w:unhideWhenUsed/>
    <w:rsid w:val="008B7360"/>
    <w:rPr>
      <w:b/>
      <w:bCs/>
    </w:rPr>
  </w:style>
  <w:style w:type="character" w:customStyle="1" w:styleId="CommentSubjectChar">
    <w:name w:val="Comment Subject Char"/>
    <w:basedOn w:val="CommentTextChar"/>
    <w:link w:val="CommentSubject"/>
    <w:uiPriority w:val="99"/>
    <w:semiHidden/>
    <w:rsid w:val="008B7360"/>
    <w:rPr>
      <w:b/>
      <w:bCs/>
      <w:sz w:val="20"/>
      <w:szCs w:val="20"/>
    </w:rPr>
  </w:style>
  <w:style w:type="table" w:customStyle="1" w:styleId="TableGrid1">
    <w:name w:val="Table Grid1"/>
    <w:basedOn w:val="TableNormal"/>
    <w:next w:val="TableGrid"/>
    <w:uiPriority w:val="59"/>
    <w:rsid w:val="008B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1754"/>
    <w:rPr>
      <w:color w:val="0000FF"/>
      <w:u w:val="single"/>
    </w:rPr>
  </w:style>
  <w:style w:type="paragraph" w:styleId="NoSpacing">
    <w:name w:val="No Spacing"/>
    <w:uiPriority w:val="1"/>
    <w:qFormat/>
    <w:rsid w:val="00572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8865">
      <w:bodyDiv w:val="1"/>
      <w:marLeft w:val="0"/>
      <w:marRight w:val="0"/>
      <w:marTop w:val="0"/>
      <w:marBottom w:val="0"/>
      <w:divBdr>
        <w:top w:val="none" w:sz="0" w:space="0" w:color="auto"/>
        <w:left w:val="none" w:sz="0" w:space="0" w:color="auto"/>
        <w:bottom w:val="none" w:sz="0" w:space="0" w:color="auto"/>
        <w:right w:val="none" w:sz="0" w:space="0" w:color="auto"/>
      </w:divBdr>
    </w:div>
    <w:div w:id="1194734515">
      <w:bodyDiv w:val="1"/>
      <w:marLeft w:val="0"/>
      <w:marRight w:val="0"/>
      <w:marTop w:val="0"/>
      <w:marBottom w:val="0"/>
      <w:divBdr>
        <w:top w:val="none" w:sz="0" w:space="0" w:color="auto"/>
        <w:left w:val="none" w:sz="0" w:space="0" w:color="auto"/>
        <w:bottom w:val="none" w:sz="0" w:space="0" w:color="auto"/>
        <w:right w:val="none" w:sz="0" w:space="0" w:color="auto"/>
      </w:divBdr>
    </w:div>
    <w:div w:id="13738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6AEA10563F984780DF886C74579EEF" ma:contentTypeVersion="13" ma:contentTypeDescription="Create a new document." ma:contentTypeScope="" ma:versionID="41f6bafb640cd5747eb735d05922dda1">
  <xsd:schema xmlns:xsd="http://www.w3.org/2001/XMLSchema" xmlns:xs="http://www.w3.org/2001/XMLSchema" xmlns:p="http://schemas.microsoft.com/office/2006/metadata/properties" xmlns:ns2="76ce6daf-1946-43d2-bde0-017f0d928c3c" xmlns:ns3="ec763d0b-e8a5-43af-af0a-3840cbcea031" targetNamespace="http://schemas.microsoft.com/office/2006/metadata/properties" ma:root="true" ma:fieldsID="9c1f18d54e68a0503f0b863258e39d3b" ns2:_="" ns3:_="">
    <xsd:import namespace="76ce6daf-1946-43d2-bde0-017f0d928c3c"/>
    <xsd:import namespace="ec763d0b-e8a5-43af-af0a-3840cbcea0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6daf-1946-43d2-bde0-017f0d928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763d0b-e8a5-43af-af0a-3840cbcea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E72DA-161F-4919-BF4E-7A5CA53694C2}">
  <ds:schemaRefs>
    <ds:schemaRef ds:uri="http://schemas.openxmlformats.org/officeDocument/2006/bibliography"/>
  </ds:schemaRefs>
</ds:datastoreItem>
</file>

<file path=customXml/itemProps2.xml><?xml version="1.0" encoding="utf-8"?>
<ds:datastoreItem xmlns:ds="http://schemas.openxmlformats.org/officeDocument/2006/customXml" ds:itemID="{F8943F0A-1012-43B0-9EE5-B5E3E9CCF8D3}"/>
</file>

<file path=customXml/itemProps3.xml><?xml version="1.0" encoding="utf-8"?>
<ds:datastoreItem xmlns:ds="http://schemas.openxmlformats.org/officeDocument/2006/customXml" ds:itemID="{0C3B64CD-AC9A-4796-A8BF-174CCDDB833E}"/>
</file>

<file path=customXml/itemProps4.xml><?xml version="1.0" encoding="utf-8"?>
<ds:datastoreItem xmlns:ds="http://schemas.openxmlformats.org/officeDocument/2006/customXml" ds:itemID="{FB10D597-40FC-43B8-859B-BC055C2B0EEC}"/>
</file>

<file path=docProps/app.xml><?xml version="1.0" encoding="utf-8"?>
<Properties xmlns="http://schemas.openxmlformats.org/officeDocument/2006/extended-properties" xmlns:vt="http://schemas.openxmlformats.org/officeDocument/2006/docPropsVTypes">
  <Template>Normal</Template>
  <TotalTime>25</TotalTime>
  <Pages>8</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Bolton At Home</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Bailey, Tracey</dc:creator>
  <cp:lastModifiedBy>Bailey, Tracey</cp:lastModifiedBy>
  <cp:revision>8</cp:revision>
  <cp:lastPrinted>2018-08-15T09:29:00Z</cp:lastPrinted>
  <dcterms:created xsi:type="dcterms:W3CDTF">2022-03-24T11:17:00Z</dcterms:created>
  <dcterms:modified xsi:type="dcterms:W3CDTF">2022-05-03T12:58:00Z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ContentTypeId">
    <vt:lpwstr>0x010100E26AEA10563F984780DF886C74579EEF</vt:lpwstr>
  </property>
</Properties>
</file>