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91" w:type="dxa"/>
        <w:tblCellSpacing w:w="1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91"/>
        <w:gridCol w:w="4166"/>
        <w:gridCol w:w="4819"/>
        <w:gridCol w:w="5815"/>
      </w:tblGrid>
      <w:tr w:rsidR="00AB60AA" w:rsidRPr="007B7899" w14:paraId="600175C2" w14:textId="77777777" w:rsidTr="00B02749">
        <w:trPr>
          <w:tblHeader/>
          <w:tblCellSpacing w:w="11" w:type="dxa"/>
        </w:trPr>
        <w:tc>
          <w:tcPr>
            <w:tcW w:w="758" w:type="dxa"/>
            <w:shd w:val="clear" w:color="auto" w:fill="B6DDE8" w:themeFill="accent5" w:themeFillTint="66"/>
            <w:vAlign w:val="center"/>
          </w:tcPr>
          <w:p w14:paraId="02436974" w14:textId="77777777" w:rsidR="00AB60AA" w:rsidRPr="007B7899" w:rsidRDefault="00AB60AA" w:rsidP="00BF109D">
            <w:pPr>
              <w:jc w:val="center"/>
              <w:rPr>
                <w:rFonts w:ascii="Verdana" w:hAnsi="Verdana"/>
                <w:b/>
                <w:sz w:val="18"/>
                <w:szCs w:val="16"/>
              </w:rPr>
            </w:pPr>
            <w:r w:rsidRPr="007B7899">
              <w:rPr>
                <w:rFonts w:ascii="Verdana" w:hAnsi="Verdana"/>
                <w:b/>
                <w:sz w:val="18"/>
                <w:szCs w:val="16"/>
              </w:rPr>
              <w:t>RSH ref</w:t>
            </w:r>
          </w:p>
        </w:tc>
        <w:tc>
          <w:tcPr>
            <w:tcW w:w="4144" w:type="dxa"/>
            <w:shd w:val="clear" w:color="auto" w:fill="B6DDE8" w:themeFill="accent5" w:themeFillTint="66"/>
            <w:vAlign w:val="center"/>
          </w:tcPr>
          <w:p w14:paraId="6F312C61" w14:textId="77777777" w:rsidR="00AB60AA" w:rsidRPr="007B7899" w:rsidRDefault="00AB60AA" w:rsidP="00BF109D">
            <w:pPr>
              <w:jc w:val="center"/>
              <w:rPr>
                <w:rFonts w:ascii="Verdana" w:hAnsi="Verdana"/>
                <w:b/>
                <w:sz w:val="18"/>
                <w:szCs w:val="16"/>
              </w:rPr>
            </w:pPr>
            <w:r w:rsidRPr="007B7899">
              <w:rPr>
                <w:rFonts w:ascii="Verdana" w:hAnsi="Verdana"/>
                <w:b/>
                <w:sz w:val="18"/>
                <w:szCs w:val="16"/>
              </w:rPr>
              <w:t>RSH requirements</w:t>
            </w:r>
          </w:p>
        </w:tc>
        <w:tc>
          <w:tcPr>
            <w:tcW w:w="4797" w:type="dxa"/>
            <w:shd w:val="clear" w:color="auto" w:fill="B6DDE8" w:themeFill="accent5" w:themeFillTint="66"/>
            <w:vAlign w:val="center"/>
          </w:tcPr>
          <w:p w14:paraId="4C8069A5" w14:textId="77777777" w:rsidR="00AB60AA" w:rsidRPr="007B7899" w:rsidRDefault="00AB60AA" w:rsidP="0091662D">
            <w:pPr>
              <w:jc w:val="center"/>
              <w:rPr>
                <w:rFonts w:ascii="Verdana" w:hAnsi="Verdana"/>
                <w:b/>
                <w:sz w:val="18"/>
                <w:szCs w:val="16"/>
              </w:rPr>
            </w:pPr>
            <w:r w:rsidRPr="007B7899">
              <w:rPr>
                <w:rFonts w:ascii="Verdana" w:hAnsi="Verdana"/>
                <w:b/>
                <w:sz w:val="18"/>
                <w:szCs w:val="16"/>
              </w:rPr>
              <w:t>RSH Code</w:t>
            </w:r>
          </w:p>
        </w:tc>
        <w:tc>
          <w:tcPr>
            <w:tcW w:w="5782" w:type="dxa"/>
            <w:shd w:val="clear" w:color="auto" w:fill="17365D" w:themeFill="text2" w:themeFillShade="BF"/>
            <w:vAlign w:val="center"/>
          </w:tcPr>
          <w:p w14:paraId="0094A987" w14:textId="77777777" w:rsidR="00AB60AA" w:rsidRPr="007B7899" w:rsidRDefault="00AB60AA" w:rsidP="0091662D">
            <w:pPr>
              <w:jc w:val="center"/>
              <w:rPr>
                <w:rFonts w:ascii="Verdana" w:hAnsi="Verdana"/>
                <w:b/>
                <w:sz w:val="18"/>
                <w:szCs w:val="16"/>
              </w:rPr>
            </w:pPr>
          </w:p>
          <w:p w14:paraId="62384608" w14:textId="3DCFD79F" w:rsidR="00AB60AA" w:rsidRPr="007B7899" w:rsidRDefault="00AB60AA" w:rsidP="0091662D">
            <w:pPr>
              <w:jc w:val="center"/>
              <w:rPr>
                <w:rFonts w:ascii="Verdana" w:hAnsi="Verdana"/>
                <w:b/>
                <w:sz w:val="18"/>
                <w:szCs w:val="16"/>
              </w:rPr>
            </w:pPr>
            <w:r w:rsidRPr="007B7899">
              <w:rPr>
                <w:rFonts w:ascii="Verdana" w:hAnsi="Verdana"/>
                <w:b/>
                <w:sz w:val="18"/>
                <w:szCs w:val="16"/>
              </w:rPr>
              <w:t xml:space="preserve">How </w:t>
            </w:r>
            <w:r>
              <w:rPr>
                <w:rFonts w:ascii="Verdana" w:hAnsi="Verdana"/>
                <w:b/>
                <w:sz w:val="18"/>
                <w:szCs w:val="16"/>
              </w:rPr>
              <w:t>we</w:t>
            </w:r>
            <w:r w:rsidRPr="007B7899">
              <w:rPr>
                <w:rFonts w:ascii="Verdana" w:hAnsi="Verdana"/>
                <w:b/>
                <w:sz w:val="18"/>
                <w:szCs w:val="16"/>
              </w:rPr>
              <w:t xml:space="preserve"> comply</w:t>
            </w:r>
            <w:r>
              <w:rPr>
                <w:rFonts w:ascii="Verdana" w:hAnsi="Verdana"/>
                <w:b/>
                <w:sz w:val="18"/>
                <w:szCs w:val="16"/>
              </w:rPr>
              <w:t xml:space="preserve"> and </w:t>
            </w:r>
            <w:r w:rsidRPr="007B7899">
              <w:rPr>
                <w:rFonts w:ascii="Verdana" w:hAnsi="Verdana"/>
                <w:b/>
                <w:sz w:val="18"/>
                <w:szCs w:val="16"/>
              </w:rPr>
              <w:t>Board assurance</w:t>
            </w:r>
          </w:p>
          <w:p w14:paraId="264FD740" w14:textId="5FDE4A02" w:rsidR="00AB60AA" w:rsidRPr="007B7899" w:rsidRDefault="00AB60AA" w:rsidP="00BF109D">
            <w:pPr>
              <w:jc w:val="center"/>
              <w:rPr>
                <w:rFonts w:ascii="Verdana" w:hAnsi="Verdana"/>
                <w:b/>
                <w:sz w:val="18"/>
                <w:szCs w:val="16"/>
              </w:rPr>
            </w:pPr>
          </w:p>
        </w:tc>
      </w:tr>
      <w:tr w:rsidR="007B7899" w:rsidRPr="007B7899" w14:paraId="00248C40" w14:textId="77777777" w:rsidTr="007B7899">
        <w:trPr>
          <w:tblCellSpacing w:w="11" w:type="dxa"/>
        </w:trPr>
        <w:tc>
          <w:tcPr>
            <w:tcW w:w="758" w:type="dxa"/>
            <w:shd w:val="clear" w:color="auto" w:fill="BFBFBF" w:themeFill="background1" w:themeFillShade="BF"/>
          </w:tcPr>
          <w:p w14:paraId="330F8691" w14:textId="77777777" w:rsidR="000844D1" w:rsidRPr="000844D1" w:rsidRDefault="000844D1" w:rsidP="00BF109D">
            <w:pPr>
              <w:rPr>
                <w:rFonts w:ascii="Verdana" w:hAnsi="Verdana"/>
                <w:b/>
                <w:sz w:val="8"/>
                <w:szCs w:val="16"/>
              </w:rPr>
            </w:pPr>
          </w:p>
          <w:p w14:paraId="75AA4283" w14:textId="77777777" w:rsidR="007B7899" w:rsidRPr="007B7899" w:rsidRDefault="007B7899" w:rsidP="00BF109D">
            <w:pPr>
              <w:rPr>
                <w:rFonts w:ascii="Verdana" w:hAnsi="Verdana"/>
                <w:b/>
                <w:sz w:val="20"/>
                <w:szCs w:val="16"/>
              </w:rPr>
            </w:pPr>
            <w:r w:rsidRPr="007B7899">
              <w:rPr>
                <w:rFonts w:ascii="Verdana" w:hAnsi="Verdana"/>
                <w:b/>
                <w:sz w:val="20"/>
                <w:szCs w:val="16"/>
              </w:rPr>
              <w:t>1.1</w:t>
            </w:r>
          </w:p>
        </w:tc>
        <w:tc>
          <w:tcPr>
            <w:tcW w:w="14767" w:type="dxa"/>
            <w:gridSpan w:val="3"/>
            <w:shd w:val="clear" w:color="auto" w:fill="BFBFBF" w:themeFill="background1" w:themeFillShade="BF"/>
          </w:tcPr>
          <w:p w14:paraId="1FC693A1" w14:textId="77777777" w:rsidR="000844D1" w:rsidRPr="000844D1" w:rsidRDefault="000844D1" w:rsidP="00BF109D">
            <w:pPr>
              <w:rPr>
                <w:rFonts w:ascii="Verdana" w:hAnsi="Verdana"/>
                <w:b/>
                <w:sz w:val="6"/>
                <w:szCs w:val="16"/>
              </w:rPr>
            </w:pPr>
          </w:p>
          <w:p w14:paraId="201A3AAB" w14:textId="77777777" w:rsidR="007B7899" w:rsidRDefault="007B7899" w:rsidP="00BF109D">
            <w:pPr>
              <w:rPr>
                <w:rFonts w:ascii="Verdana" w:hAnsi="Verdana"/>
                <w:b/>
                <w:sz w:val="20"/>
                <w:szCs w:val="16"/>
              </w:rPr>
            </w:pPr>
            <w:r w:rsidRPr="007B7899">
              <w:rPr>
                <w:rFonts w:ascii="Verdana" w:hAnsi="Verdana"/>
                <w:b/>
                <w:sz w:val="20"/>
                <w:szCs w:val="16"/>
              </w:rPr>
              <w:t>Required Outcomes – Governance</w:t>
            </w:r>
          </w:p>
          <w:p w14:paraId="294967EC" w14:textId="77777777" w:rsidR="000844D1" w:rsidRPr="000844D1" w:rsidRDefault="000844D1" w:rsidP="00BF109D">
            <w:pPr>
              <w:rPr>
                <w:rFonts w:ascii="Verdana" w:hAnsi="Verdana"/>
                <w:b/>
                <w:sz w:val="14"/>
                <w:szCs w:val="16"/>
              </w:rPr>
            </w:pPr>
          </w:p>
        </w:tc>
      </w:tr>
      <w:tr w:rsidR="00AB60AA" w:rsidRPr="00F15578" w14:paraId="4A3E30CE" w14:textId="77777777" w:rsidTr="00B02749">
        <w:trPr>
          <w:trHeight w:val="581"/>
          <w:tblCellSpacing w:w="11" w:type="dxa"/>
        </w:trPr>
        <w:tc>
          <w:tcPr>
            <w:tcW w:w="758" w:type="dxa"/>
            <w:shd w:val="clear" w:color="auto" w:fill="F2F2F2" w:themeFill="background1" w:themeFillShade="F2"/>
          </w:tcPr>
          <w:p w14:paraId="1525199E" w14:textId="77777777" w:rsidR="00AB60AA" w:rsidRPr="00F15578" w:rsidRDefault="00AB60AA" w:rsidP="00C8715D">
            <w:pPr>
              <w:rPr>
                <w:rFonts w:ascii="Verdana" w:hAnsi="Verdana"/>
                <w:sz w:val="16"/>
                <w:szCs w:val="16"/>
              </w:rPr>
            </w:pPr>
            <w:r w:rsidRPr="00F15578">
              <w:rPr>
                <w:rFonts w:ascii="Verdana" w:hAnsi="Verdana"/>
                <w:sz w:val="16"/>
                <w:szCs w:val="16"/>
              </w:rPr>
              <w:t>1.1</w:t>
            </w:r>
          </w:p>
        </w:tc>
        <w:tc>
          <w:tcPr>
            <w:tcW w:w="4144" w:type="dxa"/>
            <w:shd w:val="clear" w:color="auto" w:fill="F2F2F2" w:themeFill="background1" w:themeFillShade="F2"/>
          </w:tcPr>
          <w:p w14:paraId="4B5475E0" w14:textId="77777777" w:rsidR="00AB60AA" w:rsidRPr="00F15578" w:rsidRDefault="00AB60AA" w:rsidP="00C8715D">
            <w:pPr>
              <w:spacing w:line="276" w:lineRule="auto"/>
              <w:rPr>
                <w:rFonts w:ascii="Verdana" w:hAnsi="Verdana"/>
                <w:sz w:val="16"/>
                <w:szCs w:val="16"/>
              </w:rPr>
            </w:pPr>
            <w:r w:rsidRPr="00F15578">
              <w:rPr>
                <w:rFonts w:ascii="Verdana" w:hAnsi="Verdana"/>
                <w:sz w:val="16"/>
                <w:szCs w:val="16"/>
              </w:rPr>
              <w:t>R</w:t>
            </w:r>
            <w:r>
              <w:rPr>
                <w:rFonts w:ascii="Verdana" w:hAnsi="Verdana"/>
                <w:sz w:val="16"/>
                <w:szCs w:val="16"/>
              </w:rPr>
              <w:t xml:space="preserve">egistered providers </w:t>
            </w:r>
            <w:r w:rsidRPr="00F15578">
              <w:rPr>
                <w:rFonts w:ascii="Verdana" w:hAnsi="Verdana"/>
                <w:sz w:val="16"/>
                <w:szCs w:val="16"/>
              </w:rPr>
              <w:t xml:space="preserve">shall ensure </w:t>
            </w:r>
            <w:r>
              <w:rPr>
                <w:rFonts w:ascii="Verdana" w:hAnsi="Verdana"/>
                <w:b/>
                <w:sz w:val="16"/>
                <w:szCs w:val="16"/>
              </w:rPr>
              <w:t xml:space="preserve">effective governance </w:t>
            </w:r>
            <w:r w:rsidRPr="00F15578">
              <w:rPr>
                <w:rFonts w:ascii="Verdana" w:hAnsi="Verdana"/>
                <w:b/>
                <w:sz w:val="16"/>
                <w:szCs w:val="16"/>
              </w:rPr>
              <w:t>arrangements</w:t>
            </w:r>
            <w:r w:rsidRPr="00F15578">
              <w:rPr>
                <w:rFonts w:ascii="Verdana" w:hAnsi="Verdana"/>
                <w:sz w:val="16"/>
                <w:szCs w:val="16"/>
              </w:rPr>
              <w:t xml:space="preserve"> that deliver their aims, objectives and intended outcomes for tenants and potential tenants in an effective, </w:t>
            </w:r>
            <w:proofErr w:type="gramStart"/>
            <w:r w:rsidRPr="00F15578">
              <w:rPr>
                <w:rFonts w:ascii="Verdana" w:hAnsi="Verdana"/>
                <w:sz w:val="16"/>
                <w:szCs w:val="16"/>
              </w:rPr>
              <w:t>transparent</w:t>
            </w:r>
            <w:proofErr w:type="gramEnd"/>
            <w:r w:rsidRPr="00F15578">
              <w:rPr>
                <w:rFonts w:ascii="Verdana" w:hAnsi="Verdana"/>
                <w:sz w:val="16"/>
                <w:szCs w:val="16"/>
              </w:rPr>
              <w:t xml:space="preserve"> and accountable manner.</w:t>
            </w:r>
          </w:p>
          <w:p w14:paraId="023AF26B" w14:textId="77777777" w:rsidR="00AB60AA" w:rsidRPr="00F15578" w:rsidRDefault="00AB60AA" w:rsidP="00C8715D">
            <w:pPr>
              <w:spacing w:line="276" w:lineRule="auto"/>
              <w:rPr>
                <w:rFonts w:ascii="Verdana" w:hAnsi="Verdana"/>
                <w:sz w:val="16"/>
                <w:szCs w:val="16"/>
              </w:rPr>
            </w:pPr>
          </w:p>
        </w:tc>
        <w:tc>
          <w:tcPr>
            <w:tcW w:w="4797" w:type="dxa"/>
            <w:shd w:val="clear" w:color="auto" w:fill="FFFFFF" w:themeFill="background1"/>
          </w:tcPr>
          <w:p w14:paraId="2A72A8F9" w14:textId="77777777" w:rsidR="00AB60AA" w:rsidRPr="00E81168" w:rsidRDefault="00AB60AA" w:rsidP="00C8715D">
            <w:pPr>
              <w:spacing w:line="276" w:lineRule="auto"/>
              <w:rPr>
                <w:rFonts w:ascii="Verdana" w:hAnsi="Verdana"/>
                <w:sz w:val="16"/>
                <w:szCs w:val="16"/>
              </w:rPr>
            </w:pPr>
            <w:r w:rsidRPr="00E81168">
              <w:rPr>
                <w:rFonts w:ascii="Verdana" w:hAnsi="Verdana"/>
                <w:sz w:val="16"/>
                <w:szCs w:val="16"/>
              </w:rPr>
              <w:t xml:space="preserve">6) The required outcome for governance ensures the delivery of a registered provider’s objectives, including being responsible holders and stewards of social housing assets. </w:t>
            </w:r>
          </w:p>
          <w:p w14:paraId="0BC9117C" w14:textId="77777777" w:rsidR="00AB60AA" w:rsidRPr="00E81168" w:rsidRDefault="00AB60AA" w:rsidP="00C8715D">
            <w:pPr>
              <w:spacing w:line="276" w:lineRule="auto"/>
              <w:rPr>
                <w:rFonts w:ascii="Verdana" w:hAnsi="Verdana"/>
                <w:sz w:val="16"/>
                <w:szCs w:val="16"/>
              </w:rPr>
            </w:pPr>
          </w:p>
          <w:p w14:paraId="3BB06EEE" w14:textId="77777777" w:rsidR="00AB60AA" w:rsidRPr="00E81168" w:rsidRDefault="00AB60AA" w:rsidP="00C8715D">
            <w:pPr>
              <w:spacing w:line="276" w:lineRule="auto"/>
              <w:rPr>
                <w:rFonts w:ascii="Verdana" w:hAnsi="Verdana"/>
                <w:sz w:val="16"/>
                <w:szCs w:val="16"/>
              </w:rPr>
            </w:pPr>
          </w:p>
          <w:p w14:paraId="7A9C72BB" w14:textId="77777777" w:rsidR="00AB60AA" w:rsidRPr="00E81168" w:rsidRDefault="00AB60AA" w:rsidP="00C8715D">
            <w:pPr>
              <w:spacing w:line="276" w:lineRule="auto"/>
              <w:rPr>
                <w:rFonts w:ascii="Verdana" w:hAnsi="Verdana"/>
                <w:b/>
                <w:sz w:val="16"/>
                <w:szCs w:val="16"/>
              </w:rPr>
            </w:pPr>
          </w:p>
          <w:p w14:paraId="5EEA5AB4" w14:textId="77777777" w:rsidR="00AB60AA" w:rsidRPr="00F15578" w:rsidRDefault="00AB60AA" w:rsidP="00C8715D">
            <w:pPr>
              <w:rPr>
                <w:rFonts w:ascii="Verdana" w:hAnsi="Verdana"/>
                <w:sz w:val="16"/>
                <w:szCs w:val="16"/>
              </w:rPr>
            </w:pPr>
          </w:p>
        </w:tc>
        <w:tc>
          <w:tcPr>
            <w:tcW w:w="5782" w:type="dxa"/>
            <w:shd w:val="clear" w:color="auto" w:fill="FFFFFF" w:themeFill="background1"/>
          </w:tcPr>
          <w:p w14:paraId="23AC9717" w14:textId="023AA5EE" w:rsidR="00AB60AA" w:rsidRPr="00B02749" w:rsidRDefault="00AB60AA" w:rsidP="00142BAC">
            <w:pPr>
              <w:rPr>
                <w:rFonts w:ascii="Verdana" w:hAnsi="Verdana"/>
                <w:sz w:val="16"/>
                <w:szCs w:val="16"/>
              </w:rPr>
            </w:pPr>
            <w:r w:rsidRPr="00B02749">
              <w:rPr>
                <w:rFonts w:ascii="Verdana" w:hAnsi="Verdana"/>
                <w:sz w:val="16"/>
                <w:szCs w:val="16"/>
              </w:rPr>
              <w:t xml:space="preserve"> </w:t>
            </w:r>
          </w:p>
          <w:p w14:paraId="10ED60EA" w14:textId="5CE3E113" w:rsidR="00AB60AA" w:rsidRPr="00B02749" w:rsidRDefault="00AB60AA" w:rsidP="00142BAC">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2F2D05A1" w14:textId="77777777" w:rsidR="00AB60AA" w:rsidRPr="00B02749" w:rsidRDefault="00AB60AA" w:rsidP="00142BAC">
            <w:pPr>
              <w:rPr>
                <w:rFonts w:ascii="Verdana" w:hAnsi="Verdana"/>
                <w:sz w:val="16"/>
                <w:szCs w:val="16"/>
              </w:rPr>
            </w:pPr>
          </w:p>
          <w:p w14:paraId="6D3DB4C5" w14:textId="77777777" w:rsidR="00AB60AA" w:rsidRPr="00B02749" w:rsidRDefault="00AB60AA" w:rsidP="00142BAC">
            <w:pPr>
              <w:rPr>
                <w:rFonts w:ascii="Verdana" w:hAnsi="Verdana"/>
                <w:sz w:val="16"/>
                <w:szCs w:val="16"/>
              </w:rPr>
            </w:pPr>
          </w:p>
          <w:p w14:paraId="7532D513" w14:textId="2E2B376A" w:rsidR="00AB60AA" w:rsidRPr="00B02749" w:rsidRDefault="00AB60AA" w:rsidP="00C46EAF">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477B8771" w14:textId="5564BD52" w:rsidR="00AB60AA" w:rsidRPr="00B02749" w:rsidRDefault="00AB60AA" w:rsidP="00AB60AA">
            <w:pPr>
              <w:pStyle w:val="ListParagraph"/>
              <w:numPr>
                <w:ilvl w:val="0"/>
                <w:numId w:val="69"/>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14BFD819" w14:textId="249DB0EC" w:rsidR="00AB60AA" w:rsidRPr="00B02749" w:rsidRDefault="00AB60AA" w:rsidP="00AB60AA">
            <w:pPr>
              <w:pStyle w:val="ListParagraph"/>
              <w:numPr>
                <w:ilvl w:val="0"/>
                <w:numId w:val="69"/>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50990B40" w14:textId="4335286D" w:rsidR="00AB60AA" w:rsidRPr="00B02749" w:rsidRDefault="00AB60AA" w:rsidP="00AB60AA">
            <w:pPr>
              <w:pStyle w:val="ListParagraph"/>
              <w:numPr>
                <w:ilvl w:val="0"/>
                <w:numId w:val="69"/>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0DC04EDB" w14:textId="5A71817B" w:rsidR="00AB60AA" w:rsidRPr="00B02749" w:rsidRDefault="00AB60AA" w:rsidP="009125D1">
            <w:pPr>
              <w:spacing w:line="276" w:lineRule="auto"/>
              <w:rPr>
                <w:rFonts w:ascii="Verdana" w:hAnsi="Verdana"/>
                <w:bCs/>
                <w:sz w:val="16"/>
                <w:szCs w:val="16"/>
              </w:rPr>
            </w:pPr>
          </w:p>
          <w:p w14:paraId="3D41FCE0" w14:textId="77777777" w:rsidR="00AB60AA" w:rsidRPr="00B02749" w:rsidRDefault="00AB60AA" w:rsidP="009125D1">
            <w:pPr>
              <w:spacing w:line="276" w:lineRule="auto"/>
              <w:rPr>
                <w:rFonts w:ascii="Verdana" w:hAnsi="Verdana"/>
                <w:b/>
                <w:sz w:val="16"/>
                <w:szCs w:val="16"/>
              </w:rPr>
            </w:pPr>
          </w:p>
          <w:p w14:paraId="71BDD668" w14:textId="471D51EC" w:rsidR="00AB60AA" w:rsidRPr="00B02749" w:rsidRDefault="00AB60AA" w:rsidP="00C8715D">
            <w:pPr>
              <w:rPr>
                <w:rFonts w:ascii="Verdana" w:hAnsi="Verdana"/>
                <w:i/>
                <w:iCs/>
                <w:color w:val="E36C0A" w:themeColor="accent6" w:themeShade="BF"/>
                <w:sz w:val="16"/>
                <w:szCs w:val="16"/>
              </w:rPr>
            </w:pPr>
            <w:r w:rsidRPr="00B02749">
              <w:rPr>
                <w:rFonts w:ascii="Verdana" w:hAnsi="Verdana"/>
                <w:b/>
                <w:sz w:val="16"/>
                <w:szCs w:val="16"/>
              </w:rPr>
              <w:t>Action to take</w:t>
            </w:r>
            <w:r w:rsidR="00172454" w:rsidRPr="00B02749">
              <w:rPr>
                <w:rFonts w:ascii="Verdana" w:hAnsi="Verdana"/>
                <w:b/>
                <w:sz w:val="16"/>
                <w:szCs w:val="16"/>
              </w:rPr>
              <w:t xml:space="preserve">: </w:t>
            </w:r>
            <w:r w:rsidR="00172454" w:rsidRPr="00B02749">
              <w:rPr>
                <w:rFonts w:ascii="Verdana" w:hAnsi="Verdana"/>
                <w:i/>
                <w:iCs/>
                <w:color w:val="E36C0A" w:themeColor="accent6" w:themeShade="BF"/>
                <w:sz w:val="16"/>
                <w:szCs w:val="16"/>
              </w:rPr>
              <w:t>(</w:t>
            </w:r>
            <w:r w:rsidRPr="00B02749">
              <w:rPr>
                <w:rFonts w:ascii="Verdana" w:hAnsi="Verdana"/>
                <w:i/>
                <w:iCs/>
                <w:color w:val="E36C0A" w:themeColor="accent6" w:themeShade="BF"/>
                <w:sz w:val="16"/>
                <w:szCs w:val="16"/>
              </w:rPr>
              <w:t xml:space="preserve">Details of any actions required to strengthen compliance) </w:t>
            </w:r>
          </w:p>
          <w:p w14:paraId="1239B0BE" w14:textId="545F9401" w:rsidR="00B02749" w:rsidRPr="00B02749" w:rsidRDefault="00B02749" w:rsidP="00C8715D">
            <w:pPr>
              <w:rPr>
                <w:rFonts w:ascii="Verdana" w:hAnsi="Verdana"/>
                <w:sz w:val="16"/>
                <w:szCs w:val="16"/>
              </w:rPr>
            </w:pPr>
          </w:p>
        </w:tc>
      </w:tr>
      <w:tr w:rsidR="00B02749" w:rsidRPr="00F15578" w14:paraId="06D15591" w14:textId="77777777" w:rsidTr="00B02749">
        <w:trPr>
          <w:trHeight w:val="2070"/>
          <w:tblCellSpacing w:w="11" w:type="dxa"/>
        </w:trPr>
        <w:tc>
          <w:tcPr>
            <w:tcW w:w="758" w:type="dxa"/>
            <w:shd w:val="clear" w:color="auto" w:fill="F2F2F2" w:themeFill="background1" w:themeFillShade="F2"/>
          </w:tcPr>
          <w:p w14:paraId="4EE32920" w14:textId="77777777" w:rsidR="00B02749" w:rsidRPr="00F15578" w:rsidRDefault="00B02749" w:rsidP="00B02749">
            <w:pPr>
              <w:rPr>
                <w:rFonts w:ascii="Verdana" w:hAnsi="Verdana"/>
                <w:sz w:val="16"/>
                <w:szCs w:val="16"/>
              </w:rPr>
            </w:pPr>
            <w:r w:rsidRPr="00F15578">
              <w:rPr>
                <w:rFonts w:ascii="Verdana" w:hAnsi="Verdana"/>
                <w:sz w:val="16"/>
                <w:szCs w:val="16"/>
              </w:rPr>
              <w:t>1.1a</w:t>
            </w:r>
          </w:p>
        </w:tc>
        <w:tc>
          <w:tcPr>
            <w:tcW w:w="4144" w:type="dxa"/>
            <w:shd w:val="clear" w:color="auto" w:fill="F2F2F2" w:themeFill="background1" w:themeFillShade="F2"/>
          </w:tcPr>
          <w:p w14:paraId="7BAD85BD" w14:textId="77777777" w:rsidR="00B02749" w:rsidRPr="00F15578" w:rsidRDefault="00B02749" w:rsidP="00B02749">
            <w:pPr>
              <w:spacing w:line="276" w:lineRule="auto"/>
              <w:rPr>
                <w:rFonts w:ascii="Verdana" w:hAnsi="Verdana"/>
                <w:b/>
                <w:sz w:val="16"/>
                <w:szCs w:val="16"/>
              </w:rPr>
            </w:pPr>
            <w:r w:rsidRPr="00F15578">
              <w:rPr>
                <w:rFonts w:ascii="Verdana" w:hAnsi="Verdana"/>
                <w:sz w:val="16"/>
                <w:szCs w:val="16"/>
              </w:rPr>
              <w:t xml:space="preserve">Governance arrangements shall ensure registered providers </w:t>
            </w:r>
            <w:r w:rsidRPr="00F15578">
              <w:rPr>
                <w:rFonts w:ascii="Verdana" w:hAnsi="Verdana"/>
                <w:b/>
                <w:sz w:val="16"/>
                <w:szCs w:val="16"/>
              </w:rPr>
              <w:t>adhere to all relevant law.</w:t>
            </w:r>
          </w:p>
          <w:p w14:paraId="4AF0B10D" w14:textId="77777777" w:rsidR="00B02749" w:rsidRPr="00F15578" w:rsidRDefault="00B02749" w:rsidP="00B02749">
            <w:pPr>
              <w:spacing w:line="276" w:lineRule="auto"/>
              <w:rPr>
                <w:rFonts w:ascii="Verdana" w:hAnsi="Verdana"/>
                <w:sz w:val="16"/>
                <w:szCs w:val="16"/>
              </w:rPr>
            </w:pPr>
          </w:p>
        </w:tc>
        <w:tc>
          <w:tcPr>
            <w:tcW w:w="4797" w:type="dxa"/>
            <w:shd w:val="clear" w:color="auto" w:fill="FFFFFF" w:themeFill="background1"/>
          </w:tcPr>
          <w:p w14:paraId="0EC51046" w14:textId="77777777" w:rsidR="00B02749" w:rsidRDefault="00B02749" w:rsidP="00B02749">
            <w:pPr>
              <w:rPr>
                <w:rFonts w:ascii="Verdana" w:hAnsi="Verdana"/>
                <w:sz w:val="16"/>
                <w:szCs w:val="16"/>
              </w:rPr>
            </w:pPr>
            <w:r w:rsidRPr="00E81168">
              <w:rPr>
                <w:rFonts w:ascii="Verdana" w:hAnsi="Verdana"/>
                <w:sz w:val="16"/>
                <w:szCs w:val="16"/>
              </w:rPr>
              <w:t>6) The regulator considers the reference to compliance with ‘</w:t>
            </w:r>
            <w:r w:rsidRPr="00E81168">
              <w:rPr>
                <w:rFonts w:ascii="Verdana" w:hAnsi="Verdana"/>
                <w:b/>
                <w:sz w:val="16"/>
                <w:szCs w:val="16"/>
              </w:rPr>
              <w:t>all relevant law</w:t>
            </w:r>
            <w:r w:rsidRPr="00E81168">
              <w:rPr>
                <w:rFonts w:ascii="Verdana" w:hAnsi="Verdana"/>
                <w:sz w:val="16"/>
                <w:szCs w:val="16"/>
              </w:rPr>
              <w:t>’ in the first bullet point encompasses legislation (including secondary legislation), and common law. In ensuring compliance registered providers should have regard to relevant statutory guidance. To meet the required outcome on adherence to all relevant law boards should take reasonable measures to assure themselves of their compliance.</w:t>
            </w:r>
          </w:p>
          <w:p w14:paraId="390E0B06" w14:textId="77777777" w:rsidR="00B02749" w:rsidRPr="00F15578" w:rsidRDefault="00B02749" w:rsidP="00B02749">
            <w:pPr>
              <w:rPr>
                <w:rFonts w:ascii="Verdana" w:hAnsi="Verdana"/>
                <w:sz w:val="16"/>
                <w:szCs w:val="16"/>
              </w:rPr>
            </w:pPr>
          </w:p>
        </w:tc>
        <w:tc>
          <w:tcPr>
            <w:tcW w:w="5782" w:type="dxa"/>
            <w:shd w:val="clear" w:color="auto" w:fill="FFFFFF" w:themeFill="background1"/>
          </w:tcPr>
          <w:p w14:paraId="6256A0B8" w14:textId="77777777" w:rsidR="00B02749" w:rsidRPr="00B02749" w:rsidRDefault="00B02749" w:rsidP="00B02749">
            <w:pPr>
              <w:rPr>
                <w:rFonts w:ascii="Verdana" w:hAnsi="Verdana"/>
                <w:sz w:val="16"/>
                <w:szCs w:val="16"/>
              </w:rPr>
            </w:pPr>
            <w:r w:rsidRPr="00B02749">
              <w:rPr>
                <w:rFonts w:ascii="Verdana" w:hAnsi="Verdana"/>
                <w:sz w:val="16"/>
                <w:szCs w:val="16"/>
              </w:rPr>
              <w:t xml:space="preserve"> </w:t>
            </w:r>
          </w:p>
          <w:p w14:paraId="3060AACE" w14:textId="77777777" w:rsidR="00B02749" w:rsidRPr="00B02749" w:rsidRDefault="00B02749" w:rsidP="00B02749">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07857343" w14:textId="77777777" w:rsidR="00B02749" w:rsidRPr="00B02749" w:rsidRDefault="00B02749" w:rsidP="00B02749">
            <w:pPr>
              <w:rPr>
                <w:rFonts w:ascii="Verdana" w:hAnsi="Verdana"/>
                <w:sz w:val="16"/>
                <w:szCs w:val="16"/>
              </w:rPr>
            </w:pPr>
          </w:p>
          <w:p w14:paraId="25A37D53" w14:textId="77777777" w:rsidR="00B02749" w:rsidRPr="00B02749" w:rsidRDefault="00B02749" w:rsidP="00B02749">
            <w:pPr>
              <w:rPr>
                <w:rFonts w:ascii="Verdana" w:hAnsi="Verdana"/>
                <w:sz w:val="16"/>
                <w:szCs w:val="16"/>
              </w:rPr>
            </w:pPr>
          </w:p>
          <w:p w14:paraId="0C0BA489" w14:textId="77777777" w:rsidR="00B02749" w:rsidRPr="00B02749" w:rsidRDefault="00B02749" w:rsidP="00B02749">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35B3C4E8" w14:textId="77777777" w:rsidR="00B02749" w:rsidRPr="00B02749" w:rsidRDefault="00B02749" w:rsidP="00B02749">
            <w:pPr>
              <w:pStyle w:val="ListParagraph"/>
              <w:numPr>
                <w:ilvl w:val="0"/>
                <w:numId w:val="74"/>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4C95C768" w14:textId="77777777" w:rsidR="00B02749" w:rsidRPr="00B02749" w:rsidRDefault="00B02749" w:rsidP="00B02749">
            <w:pPr>
              <w:pStyle w:val="ListParagraph"/>
              <w:numPr>
                <w:ilvl w:val="0"/>
                <w:numId w:val="74"/>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290FB36E" w14:textId="77777777" w:rsidR="00B02749" w:rsidRPr="00B02749" w:rsidRDefault="00B02749" w:rsidP="00B02749">
            <w:pPr>
              <w:pStyle w:val="ListParagraph"/>
              <w:numPr>
                <w:ilvl w:val="0"/>
                <w:numId w:val="74"/>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5A6343D9" w14:textId="77777777" w:rsidR="00B02749" w:rsidRPr="00B02749" w:rsidRDefault="00B02749" w:rsidP="00B02749">
            <w:pPr>
              <w:spacing w:line="276" w:lineRule="auto"/>
              <w:rPr>
                <w:rFonts w:ascii="Verdana" w:hAnsi="Verdana"/>
                <w:bCs/>
                <w:sz w:val="16"/>
                <w:szCs w:val="16"/>
              </w:rPr>
            </w:pPr>
          </w:p>
          <w:p w14:paraId="2D2EC136" w14:textId="77777777" w:rsidR="00B02749" w:rsidRPr="00B02749" w:rsidRDefault="00B02749" w:rsidP="00B02749">
            <w:pPr>
              <w:spacing w:line="276" w:lineRule="auto"/>
              <w:rPr>
                <w:rFonts w:ascii="Verdana" w:hAnsi="Verdana"/>
                <w:b/>
                <w:sz w:val="16"/>
                <w:szCs w:val="16"/>
              </w:rPr>
            </w:pPr>
          </w:p>
          <w:p w14:paraId="75B7053D" w14:textId="5502B53C" w:rsidR="00B02749" w:rsidRPr="00B02749" w:rsidRDefault="00B02749" w:rsidP="00B02749">
            <w:pPr>
              <w:rPr>
                <w:rFonts w:ascii="Verdana" w:hAnsi="Verdana"/>
                <w:i/>
                <w:iCs/>
                <w:color w:val="E36C0A" w:themeColor="accent6" w:themeShade="BF"/>
                <w:sz w:val="16"/>
                <w:szCs w:val="16"/>
              </w:rPr>
            </w:pPr>
            <w:r w:rsidRPr="00B02749">
              <w:rPr>
                <w:rFonts w:ascii="Verdana" w:hAnsi="Verdana"/>
                <w:b/>
                <w:sz w:val="16"/>
                <w:szCs w:val="16"/>
              </w:rPr>
              <w:t>Action to take</w:t>
            </w:r>
            <w:r w:rsidR="00172454" w:rsidRPr="00B02749">
              <w:rPr>
                <w:rFonts w:ascii="Verdana" w:hAnsi="Verdana"/>
                <w:b/>
                <w:sz w:val="16"/>
                <w:szCs w:val="16"/>
              </w:rPr>
              <w:t xml:space="preserve">: </w:t>
            </w:r>
            <w:r w:rsidR="00172454" w:rsidRPr="00B02749">
              <w:rPr>
                <w:rFonts w:ascii="Verdana" w:hAnsi="Verdana"/>
                <w:i/>
                <w:iCs/>
                <w:color w:val="E36C0A" w:themeColor="accent6" w:themeShade="BF"/>
                <w:sz w:val="16"/>
                <w:szCs w:val="16"/>
              </w:rPr>
              <w:t>(</w:t>
            </w:r>
            <w:r w:rsidRPr="00B02749">
              <w:rPr>
                <w:rFonts w:ascii="Verdana" w:hAnsi="Verdana"/>
                <w:i/>
                <w:iCs/>
                <w:color w:val="E36C0A" w:themeColor="accent6" w:themeShade="BF"/>
                <w:sz w:val="16"/>
                <w:szCs w:val="16"/>
              </w:rPr>
              <w:t xml:space="preserve">Details of any actions required to strengthen compliance) </w:t>
            </w:r>
          </w:p>
          <w:p w14:paraId="15054915" w14:textId="1AD75124" w:rsidR="00B02749" w:rsidRPr="00B02749" w:rsidRDefault="00B02749" w:rsidP="00B02749">
            <w:pPr>
              <w:spacing w:line="276" w:lineRule="auto"/>
              <w:rPr>
                <w:rFonts w:ascii="Verdana" w:hAnsi="Verdana"/>
                <w:sz w:val="16"/>
                <w:szCs w:val="16"/>
              </w:rPr>
            </w:pPr>
          </w:p>
        </w:tc>
      </w:tr>
      <w:tr w:rsidR="00B02749" w:rsidRPr="00F15578" w14:paraId="7C9D9F48" w14:textId="77777777" w:rsidTr="00B02749">
        <w:trPr>
          <w:trHeight w:val="723"/>
          <w:tblCellSpacing w:w="11" w:type="dxa"/>
        </w:trPr>
        <w:tc>
          <w:tcPr>
            <w:tcW w:w="758" w:type="dxa"/>
            <w:shd w:val="clear" w:color="auto" w:fill="F2F2F2" w:themeFill="background1" w:themeFillShade="F2"/>
          </w:tcPr>
          <w:p w14:paraId="27CC523A" w14:textId="77777777" w:rsidR="00B02749" w:rsidRPr="00F15578" w:rsidRDefault="00B02749" w:rsidP="00B02749">
            <w:pPr>
              <w:rPr>
                <w:rFonts w:ascii="Verdana" w:hAnsi="Verdana"/>
                <w:sz w:val="16"/>
                <w:szCs w:val="16"/>
              </w:rPr>
            </w:pPr>
            <w:bookmarkStart w:id="0" w:name="_Hlk68622005"/>
            <w:r w:rsidRPr="00F15578">
              <w:rPr>
                <w:rFonts w:ascii="Verdana" w:hAnsi="Verdana"/>
                <w:sz w:val="16"/>
                <w:szCs w:val="16"/>
              </w:rPr>
              <w:t>1.1b</w:t>
            </w:r>
          </w:p>
        </w:tc>
        <w:tc>
          <w:tcPr>
            <w:tcW w:w="4144" w:type="dxa"/>
            <w:shd w:val="clear" w:color="auto" w:fill="F2F2F2" w:themeFill="background1" w:themeFillShade="F2"/>
          </w:tcPr>
          <w:p w14:paraId="647B3789" w14:textId="77777777" w:rsidR="00B02749" w:rsidRPr="00F15578" w:rsidRDefault="00B02749" w:rsidP="00B02749">
            <w:pPr>
              <w:spacing w:line="276" w:lineRule="auto"/>
              <w:rPr>
                <w:rFonts w:ascii="Verdana" w:hAnsi="Verdana"/>
                <w:b/>
                <w:sz w:val="16"/>
                <w:szCs w:val="16"/>
              </w:rPr>
            </w:pPr>
            <w:r w:rsidRPr="00F15578">
              <w:rPr>
                <w:rFonts w:ascii="Verdana" w:hAnsi="Verdana"/>
                <w:sz w:val="16"/>
                <w:szCs w:val="16"/>
              </w:rPr>
              <w:t xml:space="preserve">Governance arrangements shall ensure registered providers </w:t>
            </w:r>
            <w:r w:rsidRPr="00F15578">
              <w:rPr>
                <w:rFonts w:ascii="Verdana" w:hAnsi="Verdana"/>
                <w:b/>
                <w:sz w:val="16"/>
                <w:szCs w:val="16"/>
              </w:rPr>
              <w:t>comply with their governing documents</w:t>
            </w:r>
            <w:r w:rsidRPr="00F15578">
              <w:rPr>
                <w:rFonts w:ascii="Verdana" w:hAnsi="Verdana"/>
                <w:sz w:val="16"/>
                <w:szCs w:val="16"/>
              </w:rPr>
              <w:t xml:space="preserve"> </w:t>
            </w:r>
            <w:r w:rsidRPr="00F15578">
              <w:rPr>
                <w:rFonts w:ascii="Verdana" w:hAnsi="Verdana"/>
                <w:b/>
                <w:sz w:val="16"/>
                <w:szCs w:val="16"/>
              </w:rPr>
              <w:t>and all regulatory requirements.</w:t>
            </w:r>
          </w:p>
          <w:p w14:paraId="660E7303" w14:textId="77777777" w:rsidR="00B02749" w:rsidRPr="00F15578" w:rsidRDefault="00B02749" w:rsidP="00B02749">
            <w:pPr>
              <w:spacing w:line="276" w:lineRule="auto"/>
              <w:rPr>
                <w:rFonts w:ascii="Verdana" w:eastAsia="Times New Roman" w:hAnsi="Verdana" w:cs="Arial"/>
                <w:sz w:val="16"/>
                <w:szCs w:val="16"/>
                <w:lang w:val="en-US"/>
              </w:rPr>
            </w:pPr>
          </w:p>
        </w:tc>
        <w:tc>
          <w:tcPr>
            <w:tcW w:w="4797" w:type="dxa"/>
            <w:shd w:val="clear" w:color="auto" w:fill="FFFFFF" w:themeFill="background1"/>
          </w:tcPr>
          <w:p w14:paraId="535F17AD" w14:textId="4F8E2514" w:rsidR="00B02749" w:rsidRPr="00F15578" w:rsidRDefault="00B02749" w:rsidP="00B02749">
            <w:pPr>
              <w:rPr>
                <w:rFonts w:ascii="Verdana" w:hAnsi="Verdana"/>
                <w:sz w:val="16"/>
                <w:szCs w:val="16"/>
              </w:rPr>
            </w:pPr>
            <w:r>
              <w:rPr>
                <w:rFonts w:ascii="Verdana" w:hAnsi="Verdana"/>
                <w:sz w:val="16"/>
                <w:szCs w:val="16"/>
              </w:rPr>
              <w:t>n/a</w:t>
            </w:r>
          </w:p>
        </w:tc>
        <w:tc>
          <w:tcPr>
            <w:tcW w:w="5782" w:type="dxa"/>
            <w:shd w:val="clear" w:color="auto" w:fill="FFFFFF" w:themeFill="background1"/>
          </w:tcPr>
          <w:p w14:paraId="7FB09357" w14:textId="77777777" w:rsidR="00B02749" w:rsidRPr="00B02749" w:rsidRDefault="00B02749" w:rsidP="00B02749">
            <w:pPr>
              <w:rPr>
                <w:rFonts w:ascii="Verdana" w:hAnsi="Verdana"/>
                <w:sz w:val="16"/>
                <w:szCs w:val="16"/>
              </w:rPr>
            </w:pPr>
            <w:r w:rsidRPr="00B02749">
              <w:rPr>
                <w:rFonts w:ascii="Verdana" w:hAnsi="Verdana"/>
                <w:sz w:val="16"/>
                <w:szCs w:val="16"/>
              </w:rPr>
              <w:t xml:space="preserve"> </w:t>
            </w:r>
          </w:p>
          <w:p w14:paraId="34116A11" w14:textId="77777777" w:rsidR="00B02749" w:rsidRPr="00B02749" w:rsidRDefault="00B02749" w:rsidP="00B02749">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1B1ED297" w14:textId="77777777" w:rsidR="00B02749" w:rsidRPr="00B02749" w:rsidRDefault="00B02749" w:rsidP="00B02749">
            <w:pPr>
              <w:rPr>
                <w:rFonts w:ascii="Verdana" w:hAnsi="Verdana"/>
                <w:sz w:val="16"/>
                <w:szCs w:val="16"/>
              </w:rPr>
            </w:pPr>
          </w:p>
          <w:p w14:paraId="0881981E" w14:textId="77777777" w:rsidR="00B02749" w:rsidRPr="00B02749" w:rsidRDefault="00B02749" w:rsidP="00B02749">
            <w:pPr>
              <w:rPr>
                <w:rFonts w:ascii="Verdana" w:hAnsi="Verdana"/>
                <w:sz w:val="16"/>
                <w:szCs w:val="16"/>
              </w:rPr>
            </w:pPr>
          </w:p>
          <w:p w14:paraId="6EB55F48" w14:textId="77777777" w:rsidR="00B02749" w:rsidRPr="00B02749" w:rsidRDefault="00B02749" w:rsidP="00B02749">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3F1549B0" w14:textId="77777777" w:rsidR="00B02749" w:rsidRPr="00B02749" w:rsidRDefault="00B02749" w:rsidP="00B02749">
            <w:pPr>
              <w:pStyle w:val="ListParagraph"/>
              <w:numPr>
                <w:ilvl w:val="0"/>
                <w:numId w:val="73"/>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2EB8BA95" w14:textId="77777777" w:rsidR="00B02749" w:rsidRPr="00B02749" w:rsidRDefault="00B02749" w:rsidP="00B02749">
            <w:pPr>
              <w:pStyle w:val="ListParagraph"/>
              <w:numPr>
                <w:ilvl w:val="0"/>
                <w:numId w:val="73"/>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7FDAB134" w14:textId="77777777" w:rsidR="00B02749" w:rsidRPr="00B02749" w:rsidRDefault="00B02749" w:rsidP="00B02749">
            <w:pPr>
              <w:pStyle w:val="ListParagraph"/>
              <w:numPr>
                <w:ilvl w:val="0"/>
                <w:numId w:val="73"/>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03CD183F" w14:textId="77777777" w:rsidR="00B02749" w:rsidRPr="00B02749" w:rsidRDefault="00B02749" w:rsidP="00B02749">
            <w:pPr>
              <w:spacing w:line="276" w:lineRule="auto"/>
              <w:rPr>
                <w:rFonts w:ascii="Verdana" w:hAnsi="Verdana"/>
                <w:bCs/>
                <w:sz w:val="16"/>
                <w:szCs w:val="16"/>
              </w:rPr>
            </w:pPr>
          </w:p>
          <w:p w14:paraId="6E27E234" w14:textId="77777777" w:rsidR="00B02749" w:rsidRPr="00B02749" w:rsidRDefault="00B02749" w:rsidP="00B02749">
            <w:pPr>
              <w:spacing w:line="276" w:lineRule="auto"/>
              <w:rPr>
                <w:rFonts w:ascii="Verdana" w:hAnsi="Verdana"/>
                <w:b/>
                <w:sz w:val="16"/>
                <w:szCs w:val="16"/>
              </w:rPr>
            </w:pPr>
          </w:p>
          <w:p w14:paraId="0B1DE360" w14:textId="73EB0895" w:rsidR="00B02749" w:rsidRPr="00B02749" w:rsidRDefault="00B02749" w:rsidP="00B02749">
            <w:pPr>
              <w:rPr>
                <w:rFonts w:ascii="Verdana" w:hAnsi="Verdana"/>
                <w:i/>
                <w:iCs/>
                <w:color w:val="E36C0A" w:themeColor="accent6" w:themeShade="BF"/>
                <w:sz w:val="16"/>
                <w:szCs w:val="16"/>
              </w:rPr>
            </w:pPr>
            <w:r w:rsidRPr="00B02749">
              <w:rPr>
                <w:rFonts w:ascii="Verdana" w:hAnsi="Verdana"/>
                <w:b/>
                <w:sz w:val="16"/>
                <w:szCs w:val="16"/>
              </w:rPr>
              <w:t>Action to take</w:t>
            </w:r>
            <w:r w:rsidR="00172454" w:rsidRPr="00B02749">
              <w:rPr>
                <w:rFonts w:ascii="Verdana" w:hAnsi="Verdana"/>
                <w:b/>
                <w:sz w:val="16"/>
                <w:szCs w:val="16"/>
              </w:rPr>
              <w:t xml:space="preserve">: </w:t>
            </w:r>
            <w:r w:rsidR="00172454" w:rsidRPr="00B02749">
              <w:rPr>
                <w:rFonts w:ascii="Verdana" w:hAnsi="Verdana"/>
                <w:i/>
                <w:iCs/>
                <w:color w:val="E36C0A" w:themeColor="accent6" w:themeShade="BF"/>
                <w:sz w:val="16"/>
                <w:szCs w:val="16"/>
              </w:rPr>
              <w:t>(</w:t>
            </w:r>
            <w:r w:rsidRPr="00B02749">
              <w:rPr>
                <w:rFonts w:ascii="Verdana" w:hAnsi="Verdana"/>
                <w:i/>
                <w:iCs/>
                <w:color w:val="E36C0A" w:themeColor="accent6" w:themeShade="BF"/>
                <w:sz w:val="16"/>
                <w:szCs w:val="16"/>
              </w:rPr>
              <w:t xml:space="preserve">Details of any actions required to strengthen compliance) </w:t>
            </w:r>
          </w:p>
          <w:p w14:paraId="119AD9AE" w14:textId="1AD5576D" w:rsidR="00B02749" w:rsidRPr="00B02749" w:rsidRDefault="00B02749" w:rsidP="00B02749">
            <w:pPr>
              <w:rPr>
                <w:rFonts w:ascii="Verdana" w:hAnsi="Verdana"/>
                <w:sz w:val="16"/>
                <w:szCs w:val="16"/>
              </w:rPr>
            </w:pPr>
          </w:p>
        </w:tc>
      </w:tr>
      <w:bookmarkEnd w:id="0"/>
      <w:tr w:rsidR="00B02749" w:rsidRPr="00F15578" w14:paraId="01921EAF" w14:textId="77777777" w:rsidTr="00B02749">
        <w:trPr>
          <w:trHeight w:val="493"/>
          <w:tblCellSpacing w:w="11" w:type="dxa"/>
        </w:trPr>
        <w:tc>
          <w:tcPr>
            <w:tcW w:w="758" w:type="dxa"/>
            <w:shd w:val="clear" w:color="auto" w:fill="F2F2F2" w:themeFill="background1" w:themeFillShade="F2"/>
          </w:tcPr>
          <w:p w14:paraId="45F47A67" w14:textId="77777777" w:rsidR="00B02749" w:rsidRPr="00660FFA" w:rsidRDefault="00B02749" w:rsidP="00B02749">
            <w:pPr>
              <w:rPr>
                <w:rFonts w:ascii="Verdana" w:hAnsi="Verdana"/>
                <w:sz w:val="16"/>
                <w:szCs w:val="16"/>
              </w:rPr>
            </w:pPr>
            <w:r w:rsidRPr="00660FFA">
              <w:rPr>
                <w:rFonts w:ascii="Verdana" w:hAnsi="Verdana"/>
                <w:sz w:val="16"/>
                <w:szCs w:val="16"/>
              </w:rPr>
              <w:lastRenderedPageBreak/>
              <w:t>1.1c</w:t>
            </w:r>
          </w:p>
        </w:tc>
        <w:tc>
          <w:tcPr>
            <w:tcW w:w="4144" w:type="dxa"/>
            <w:shd w:val="clear" w:color="auto" w:fill="F2F2F2" w:themeFill="background1" w:themeFillShade="F2"/>
          </w:tcPr>
          <w:p w14:paraId="4F0894F6" w14:textId="77777777" w:rsidR="00B02749" w:rsidRPr="00660FFA" w:rsidRDefault="00B02749" w:rsidP="00B02749">
            <w:pPr>
              <w:spacing w:line="276" w:lineRule="auto"/>
              <w:rPr>
                <w:rFonts w:ascii="Verdana" w:hAnsi="Verdana"/>
                <w:sz w:val="16"/>
                <w:szCs w:val="16"/>
              </w:rPr>
            </w:pPr>
            <w:r w:rsidRPr="00660FFA">
              <w:rPr>
                <w:rFonts w:ascii="Verdana" w:hAnsi="Verdana"/>
                <w:sz w:val="16"/>
                <w:szCs w:val="16"/>
              </w:rPr>
              <w:t>Governance arrangements shall ensure registered providers are</w:t>
            </w:r>
            <w:r w:rsidRPr="00660FFA">
              <w:rPr>
                <w:rFonts w:ascii="Verdana" w:hAnsi="Verdana"/>
                <w:b/>
                <w:sz w:val="16"/>
                <w:szCs w:val="16"/>
              </w:rPr>
              <w:t xml:space="preserve"> accountable to tenants</w:t>
            </w:r>
            <w:r w:rsidRPr="00660FFA">
              <w:rPr>
                <w:rFonts w:ascii="Verdana" w:hAnsi="Verdana"/>
                <w:sz w:val="16"/>
                <w:szCs w:val="16"/>
              </w:rPr>
              <w:t xml:space="preserve">, the </w:t>
            </w:r>
            <w:proofErr w:type="gramStart"/>
            <w:r w:rsidRPr="00660FFA">
              <w:rPr>
                <w:rFonts w:ascii="Verdana" w:hAnsi="Verdana"/>
                <w:b/>
                <w:sz w:val="16"/>
                <w:szCs w:val="16"/>
              </w:rPr>
              <w:t>regulator</w:t>
            </w:r>
            <w:proofErr w:type="gramEnd"/>
            <w:r w:rsidRPr="00660FFA">
              <w:rPr>
                <w:rFonts w:ascii="Verdana" w:hAnsi="Verdana"/>
                <w:sz w:val="16"/>
                <w:szCs w:val="16"/>
              </w:rPr>
              <w:t xml:space="preserve"> and </w:t>
            </w:r>
            <w:r w:rsidRPr="00660FFA">
              <w:rPr>
                <w:rFonts w:ascii="Verdana" w:hAnsi="Verdana"/>
                <w:b/>
                <w:sz w:val="16"/>
                <w:szCs w:val="16"/>
              </w:rPr>
              <w:t>relevant stakeholders</w:t>
            </w:r>
            <w:r w:rsidRPr="00660FFA">
              <w:rPr>
                <w:rFonts w:ascii="Verdana" w:hAnsi="Verdana"/>
                <w:sz w:val="16"/>
                <w:szCs w:val="16"/>
              </w:rPr>
              <w:t>.</w:t>
            </w:r>
          </w:p>
          <w:p w14:paraId="17478F84" w14:textId="77777777" w:rsidR="00B02749" w:rsidRPr="00660FFA" w:rsidRDefault="00B02749" w:rsidP="00B02749">
            <w:pPr>
              <w:spacing w:line="276" w:lineRule="auto"/>
              <w:rPr>
                <w:rFonts w:ascii="Verdana" w:eastAsia="Times New Roman" w:hAnsi="Verdana" w:cs="Arial"/>
                <w:sz w:val="16"/>
                <w:szCs w:val="16"/>
                <w:lang w:val="en-US"/>
              </w:rPr>
            </w:pPr>
          </w:p>
        </w:tc>
        <w:tc>
          <w:tcPr>
            <w:tcW w:w="4797" w:type="dxa"/>
            <w:shd w:val="clear" w:color="auto" w:fill="FFFFFF" w:themeFill="background1"/>
          </w:tcPr>
          <w:p w14:paraId="2F596EE1" w14:textId="64C4FCDF" w:rsidR="00B02749" w:rsidRPr="00660FFA" w:rsidRDefault="00B02749" w:rsidP="00B02749">
            <w:pPr>
              <w:pStyle w:val="ListParagraph"/>
              <w:ind w:left="0"/>
              <w:rPr>
                <w:rFonts w:ascii="Verdana" w:hAnsi="Verdana"/>
                <w:b/>
                <w:sz w:val="16"/>
                <w:szCs w:val="16"/>
              </w:rPr>
            </w:pPr>
            <w:r>
              <w:rPr>
                <w:rFonts w:ascii="Verdana" w:hAnsi="Verdana"/>
                <w:b/>
                <w:sz w:val="16"/>
                <w:szCs w:val="16"/>
              </w:rPr>
              <w:t>n/a</w:t>
            </w:r>
          </w:p>
        </w:tc>
        <w:tc>
          <w:tcPr>
            <w:tcW w:w="5782" w:type="dxa"/>
            <w:shd w:val="clear" w:color="auto" w:fill="FFFFFF" w:themeFill="background1"/>
          </w:tcPr>
          <w:p w14:paraId="22ADD725" w14:textId="77777777" w:rsidR="00B02749" w:rsidRPr="00B02749" w:rsidRDefault="00B02749" w:rsidP="00B02749">
            <w:pPr>
              <w:rPr>
                <w:rFonts w:ascii="Verdana" w:hAnsi="Verdana"/>
                <w:sz w:val="16"/>
                <w:szCs w:val="16"/>
              </w:rPr>
            </w:pPr>
            <w:r w:rsidRPr="00B02749">
              <w:rPr>
                <w:rFonts w:ascii="Verdana" w:hAnsi="Verdana"/>
                <w:sz w:val="16"/>
                <w:szCs w:val="16"/>
              </w:rPr>
              <w:t xml:space="preserve"> </w:t>
            </w:r>
          </w:p>
          <w:p w14:paraId="0223732C" w14:textId="77777777" w:rsidR="00B02749" w:rsidRPr="00B02749" w:rsidRDefault="00B02749" w:rsidP="00B02749">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25061276" w14:textId="77777777" w:rsidR="00B02749" w:rsidRPr="00B02749" w:rsidRDefault="00B02749" w:rsidP="00B02749">
            <w:pPr>
              <w:rPr>
                <w:rFonts w:ascii="Verdana" w:hAnsi="Verdana"/>
                <w:sz w:val="16"/>
                <w:szCs w:val="16"/>
              </w:rPr>
            </w:pPr>
          </w:p>
          <w:p w14:paraId="74FF0A8A" w14:textId="77777777" w:rsidR="00B02749" w:rsidRPr="00B02749" w:rsidRDefault="00B02749" w:rsidP="00B02749">
            <w:pPr>
              <w:rPr>
                <w:rFonts w:ascii="Verdana" w:hAnsi="Verdana"/>
                <w:sz w:val="16"/>
                <w:szCs w:val="16"/>
              </w:rPr>
            </w:pPr>
          </w:p>
          <w:p w14:paraId="77444086" w14:textId="77777777" w:rsidR="00B02749" w:rsidRPr="00B02749" w:rsidRDefault="00B02749" w:rsidP="00B02749">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106C4034" w14:textId="77777777" w:rsidR="00B02749" w:rsidRPr="00B02749" w:rsidRDefault="00B02749" w:rsidP="00B02749">
            <w:pPr>
              <w:pStyle w:val="ListParagraph"/>
              <w:numPr>
                <w:ilvl w:val="0"/>
                <w:numId w:val="72"/>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23E7D78B" w14:textId="77777777" w:rsidR="00B02749" w:rsidRPr="00B02749" w:rsidRDefault="00B02749" w:rsidP="00B02749">
            <w:pPr>
              <w:pStyle w:val="ListParagraph"/>
              <w:numPr>
                <w:ilvl w:val="0"/>
                <w:numId w:val="72"/>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1044C25F" w14:textId="77777777" w:rsidR="00B02749" w:rsidRPr="00B02749" w:rsidRDefault="00B02749" w:rsidP="00B02749">
            <w:pPr>
              <w:pStyle w:val="ListParagraph"/>
              <w:numPr>
                <w:ilvl w:val="0"/>
                <w:numId w:val="72"/>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38E165F1" w14:textId="77777777" w:rsidR="00B02749" w:rsidRPr="00B02749" w:rsidRDefault="00B02749" w:rsidP="00B02749">
            <w:pPr>
              <w:spacing w:line="276" w:lineRule="auto"/>
              <w:rPr>
                <w:rFonts w:ascii="Verdana" w:hAnsi="Verdana"/>
                <w:bCs/>
                <w:sz w:val="16"/>
                <w:szCs w:val="16"/>
              </w:rPr>
            </w:pPr>
          </w:p>
          <w:p w14:paraId="3A10A791" w14:textId="77777777" w:rsidR="00B02749" w:rsidRPr="00B02749" w:rsidRDefault="00B02749" w:rsidP="00B02749">
            <w:pPr>
              <w:spacing w:line="276" w:lineRule="auto"/>
              <w:rPr>
                <w:rFonts w:ascii="Verdana" w:hAnsi="Verdana"/>
                <w:b/>
                <w:sz w:val="16"/>
                <w:szCs w:val="16"/>
              </w:rPr>
            </w:pPr>
          </w:p>
          <w:p w14:paraId="2BF9376D" w14:textId="489600E9" w:rsidR="00B02749" w:rsidRPr="00B02749" w:rsidRDefault="00B02749" w:rsidP="00B02749">
            <w:pPr>
              <w:rPr>
                <w:rFonts w:ascii="Verdana" w:hAnsi="Verdana"/>
                <w:i/>
                <w:iCs/>
                <w:color w:val="E36C0A" w:themeColor="accent6" w:themeShade="BF"/>
                <w:sz w:val="16"/>
                <w:szCs w:val="16"/>
              </w:rPr>
            </w:pPr>
            <w:r w:rsidRPr="00B02749">
              <w:rPr>
                <w:rFonts w:ascii="Verdana" w:hAnsi="Verdana"/>
                <w:b/>
                <w:sz w:val="16"/>
                <w:szCs w:val="16"/>
              </w:rPr>
              <w:t>Action to take</w:t>
            </w:r>
            <w:r w:rsidR="00172454" w:rsidRPr="00B02749">
              <w:rPr>
                <w:rFonts w:ascii="Verdana" w:hAnsi="Verdana"/>
                <w:b/>
                <w:sz w:val="16"/>
                <w:szCs w:val="16"/>
              </w:rPr>
              <w:t xml:space="preserve">: </w:t>
            </w:r>
            <w:r w:rsidR="00172454" w:rsidRPr="00B02749">
              <w:rPr>
                <w:rFonts w:ascii="Verdana" w:hAnsi="Verdana"/>
                <w:i/>
                <w:iCs/>
                <w:color w:val="E36C0A" w:themeColor="accent6" w:themeShade="BF"/>
                <w:sz w:val="16"/>
                <w:szCs w:val="16"/>
              </w:rPr>
              <w:t>(</w:t>
            </w:r>
            <w:r w:rsidRPr="00B02749">
              <w:rPr>
                <w:rFonts w:ascii="Verdana" w:hAnsi="Verdana"/>
                <w:i/>
                <w:iCs/>
                <w:color w:val="E36C0A" w:themeColor="accent6" w:themeShade="BF"/>
                <w:sz w:val="16"/>
                <w:szCs w:val="16"/>
              </w:rPr>
              <w:t xml:space="preserve">Details of any actions required to strengthen compliance) </w:t>
            </w:r>
          </w:p>
          <w:p w14:paraId="0BB0329B" w14:textId="69A1D786" w:rsidR="00B02749" w:rsidRPr="00B02749" w:rsidRDefault="00B02749" w:rsidP="00B02749">
            <w:pPr>
              <w:rPr>
                <w:rFonts w:ascii="Verdana" w:hAnsi="Verdana"/>
                <w:sz w:val="16"/>
                <w:szCs w:val="16"/>
              </w:rPr>
            </w:pPr>
          </w:p>
        </w:tc>
      </w:tr>
      <w:tr w:rsidR="00B02749" w:rsidRPr="00F15578" w14:paraId="4E4F868D" w14:textId="77777777" w:rsidTr="00441604">
        <w:trPr>
          <w:trHeight w:val="581"/>
          <w:tblCellSpacing w:w="11" w:type="dxa"/>
        </w:trPr>
        <w:tc>
          <w:tcPr>
            <w:tcW w:w="758" w:type="dxa"/>
            <w:shd w:val="clear" w:color="auto" w:fill="F2F2F2" w:themeFill="background1" w:themeFillShade="F2"/>
          </w:tcPr>
          <w:p w14:paraId="5DAFBFCB" w14:textId="77777777" w:rsidR="00B02749" w:rsidRPr="004A1879" w:rsidRDefault="00B02749" w:rsidP="00B02749">
            <w:pPr>
              <w:rPr>
                <w:rFonts w:ascii="Verdana" w:hAnsi="Verdana"/>
                <w:sz w:val="16"/>
                <w:szCs w:val="16"/>
              </w:rPr>
            </w:pPr>
            <w:r w:rsidRPr="004A1879">
              <w:rPr>
                <w:rFonts w:ascii="Verdana" w:hAnsi="Verdana"/>
                <w:sz w:val="16"/>
                <w:szCs w:val="16"/>
              </w:rPr>
              <w:t>1.1d</w:t>
            </w:r>
          </w:p>
        </w:tc>
        <w:tc>
          <w:tcPr>
            <w:tcW w:w="4144" w:type="dxa"/>
            <w:shd w:val="clear" w:color="auto" w:fill="F2F2F2" w:themeFill="background1" w:themeFillShade="F2"/>
          </w:tcPr>
          <w:p w14:paraId="3A5DACA2" w14:textId="77777777" w:rsidR="00B02749" w:rsidRPr="004A1879" w:rsidRDefault="00B02749" w:rsidP="00B02749">
            <w:pPr>
              <w:spacing w:line="276" w:lineRule="auto"/>
              <w:rPr>
                <w:rFonts w:ascii="Verdana" w:hAnsi="Verdana"/>
                <w:sz w:val="16"/>
                <w:szCs w:val="16"/>
              </w:rPr>
            </w:pPr>
            <w:r w:rsidRPr="004A1879">
              <w:rPr>
                <w:rFonts w:ascii="Verdana" w:hAnsi="Verdana"/>
                <w:sz w:val="16"/>
                <w:szCs w:val="16"/>
              </w:rPr>
              <w:t xml:space="preserve">Governance arrangements shall ensure registered providers </w:t>
            </w:r>
            <w:r w:rsidRPr="004A1879">
              <w:rPr>
                <w:rFonts w:ascii="Verdana" w:hAnsi="Verdana"/>
                <w:b/>
                <w:sz w:val="16"/>
                <w:szCs w:val="16"/>
              </w:rPr>
              <w:t>safeguard taxpayers’</w:t>
            </w:r>
            <w:r w:rsidRPr="004A1879">
              <w:rPr>
                <w:rFonts w:ascii="Verdana" w:hAnsi="Verdana"/>
                <w:sz w:val="16"/>
                <w:szCs w:val="16"/>
              </w:rPr>
              <w:t xml:space="preserve"> interests and the reputation of the sector.</w:t>
            </w:r>
          </w:p>
          <w:p w14:paraId="36B498A5" w14:textId="77777777" w:rsidR="00B02749" w:rsidRPr="004A1879" w:rsidRDefault="00B02749" w:rsidP="00B02749">
            <w:pPr>
              <w:rPr>
                <w:rFonts w:ascii="Verdana" w:eastAsia="Times New Roman" w:hAnsi="Verdana" w:cs="Arial"/>
                <w:sz w:val="16"/>
                <w:szCs w:val="16"/>
                <w:lang w:val="en-US"/>
              </w:rPr>
            </w:pPr>
          </w:p>
        </w:tc>
        <w:tc>
          <w:tcPr>
            <w:tcW w:w="4797" w:type="dxa"/>
            <w:shd w:val="clear" w:color="auto" w:fill="auto"/>
          </w:tcPr>
          <w:p w14:paraId="4950CAF5" w14:textId="77777777" w:rsidR="00B02749" w:rsidRPr="00530794" w:rsidRDefault="00B02749" w:rsidP="00B02749">
            <w:pPr>
              <w:pStyle w:val="ListParagraph"/>
              <w:ind w:left="0"/>
              <w:rPr>
                <w:rFonts w:ascii="Verdana" w:hAnsi="Verdana"/>
                <w:sz w:val="16"/>
                <w:szCs w:val="16"/>
              </w:rPr>
            </w:pPr>
            <w:r w:rsidRPr="00530794">
              <w:rPr>
                <w:rFonts w:ascii="Verdana" w:hAnsi="Verdana"/>
                <w:sz w:val="16"/>
                <w:szCs w:val="16"/>
              </w:rPr>
              <w:t xml:space="preserve">7) Reputation is key in maintaining confidence in the sector. The social housing sector has benefited from being part of a regulated sector with low lending rates combined with the availability of public investment. </w:t>
            </w:r>
          </w:p>
        </w:tc>
        <w:tc>
          <w:tcPr>
            <w:tcW w:w="5782" w:type="dxa"/>
            <w:shd w:val="clear" w:color="auto" w:fill="FFFFFF" w:themeFill="background1"/>
          </w:tcPr>
          <w:p w14:paraId="42547850" w14:textId="77777777" w:rsidR="00B02749" w:rsidRPr="00B02749" w:rsidRDefault="00B02749" w:rsidP="00B02749">
            <w:pPr>
              <w:rPr>
                <w:rFonts w:ascii="Verdana" w:hAnsi="Verdana"/>
                <w:sz w:val="16"/>
                <w:szCs w:val="16"/>
              </w:rPr>
            </w:pPr>
            <w:r w:rsidRPr="00B02749">
              <w:rPr>
                <w:rFonts w:ascii="Verdana" w:hAnsi="Verdana"/>
                <w:sz w:val="16"/>
                <w:szCs w:val="16"/>
              </w:rPr>
              <w:t xml:space="preserve"> </w:t>
            </w:r>
          </w:p>
          <w:p w14:paraId="3D986B75" w14:textId="77777777" w:rsidR="00B02749" w:rsidRPr="00B02749" w:rsidRDefault="00B02749" w:rsidP="00B02749">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1B5F2B8B" w14:textId="77777777" w:rsidR="00B02749" w:rsidRPr="00B02749" w:rsidRDefault="00B02749" w:rsidP="00B02749">
            <w:pPr>
              <w:rPr>
                <w:rFonts w:ascii="Verdana" w:hAnsi="Verdana"/>
                <w:sz w:val="16"/>
                <w:szCs w:val="16"/>
              </w:rPr>
            </w:pPr>
          </w:p>
          <w:p w14:paraId="2D162447" w14:textId="77777777" w:rsidR="00B02749" w:rsidRPr="00B02749" w:rsidRDefault="00B02749" w:rsidP="00B02749">
            <w:pPr>
              <w:rPr>
                <w:rFonts w:ascii="Verdana" w:hAnsi="Verdana"/>
                <w:sz w:val="16"/>
                <w:szCs w:val="16"/>
              </w:rPr>
            </w:pPr>
          </w:p>
          <w:p w14:paraId="457A74C9" w14:textId="77777777" w:rsidR="00B02749" w:rsidRPr="00B02749" w:rsidRDefault="00B02749" w:rsidP="00B02749">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05DF1751" w14:textId="77777777" w:rsidR="00B02749" w:rsidRPr="00B02749" w:rsidRDefault="00B02749" w:rsidP="00B02749">
            <w:pPr>
              <w:pStyle w:val="ListParagraph"/>
              <w:numPr>
                <w:ilvl w:val="0"/>
                <w:numId w:val="71"/>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5A8E3F2A" w14:textId="77777777" w:rsidR="00B02749" w:rsidRPr="00B02749" w:rsidRDefault="00B02749" w:rsidP="00B02749">
            <w:pPr>
              <w:pStyle w:val="ListParagraph"/>
              <w:numPr>
                <w:ilvl w:val="0"/>
                <w:numId w:val="71"/>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1E1A05B4" w14:textId="77777777" w:rsidR="00B02749" w:rsidRPr="00B02749" w:rsidRDefault="00B02749" w:rsidP="00B02749">
            <w:pPr>
              <w:pStyle w:val="ListParagraph"/>
              <w:numPr>
                <w:ilvl w:val="0"/>
                <w:numId w:val="71"/>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67597CE4" w14:textId="77777777" w:rsidR="00B02749" w:rsidRPr="00B02749" w:rsidRDefault="00B02749" w:rsidP="00B02749">
            <w:pPr>
              <w:spacing w:line="276" w:lineRule="auto"/>
              <w:rPr>
                <w:rFonts w:ascii="Verdana" w:hAnsi="Verdana"/>
                <w:bCs/>
                <w:sz w:val="16"/>
                <w:szCs w:val="16"/>
              </w:rPr>
            </w:pPr>
          </w:p>
          <w:p w14:paraId="6F192100" w14:textId="77777777" w:rsidR="00B02749" w:rsidRPr="00B02749" w:rsidRDefault="00B02749" w:rsidP="00B02749">
            <w:pPr>
              <w:spacing w:line="276" w:lineRule="auto"/>
              <w:rPr>
                <w:rFonts w:ascii="Verdana" w:hAnsi="Verdana"/>
                <w:b/>
                <w:sz w:val="16"/>
                <w:szCs w:val="16"/>
              </w:rPr>
            </w:pPr>
          </w:p>
          <w:p w14:paraId="3213E59A" w14:textId="44FE1F64" w:rsidR="00B02749" w:rsidRPr="00B02749" w:rsidRDefault="00B02749" w:rsidP="00B02749">
            <w:pPr>
              <w:rPr>
                <w:rFonts w:ascii="Verdana" w:hAnsi="Verdana"/>
                <w:i/>
                <w:iCs/>
                <w:color w:val="E36C0A" w:themeColor="accent6" w:themeShade="BF"/>
                <w:sz w:val="16"/>
                <w:szCs w:val="16"/>
              </w:rPr>
            </w:pPr>
            <w:r w:rsidRPr="00B02749">
              <w:rPr>
                <w:rFonts w:ascii="Verdana" w:hAnsi="Verdana"/>
                <w:b/>
                <w:sz w:val="16"/>
                <w:szCs w:val="16"/>
              </w:rPr>
              <w:t>Action to take</w:t>
            </w:r>
            <w:r w:rsidR="00172454" w:rsidRPr="00B02749">
              <w:rPr>
                <w:rFonts w:ascii="Verdana" w:hAnsi="Verdana"/>
                <w:b/>
                <w:sz w:val="16"/>
                <w:szCs w:val="16"/>
              </w:rPr>
              <w:t xml:space="preserve">: </w:t>
            </w:r>
            <w:r w:rsidR="00172454" w:rsidRPr="00B02749">
              <w:rPr>
                <w:rFonts w:ascii="Verdana" w:hAnsi="Verdana"/>
                <w:i/>
                <w:iCs/>
                <w:color w:val="E36C0A" w:themeColor="accent6" w:themeShade="BF"/>
                <w:sz w:val="16"/>
                <w:szCs w:val="16"/>
              </w:rPr>
              <w:t>(</w:t>
            </w:r>
            <w:r w:rsidRPr="00B02749">
              <w:rPr>
                <w:rFonts w:ascii="Verdana" w:hAnsi="Verdana"/>
                <w:i/>
                <w:iCs/>
                <w:color w:val="E36C0A" w:themeColor="accent6" w:themeShade="BF"/>
                <w:sz w:val="16"/>
                <w:szCs w:val="16"/>
              </w:rPr>
              <w:t xml:space="preserve">Details of any actions required to strengthen compliance) </w:t>
            </w:r>
          </w:p>
          <w:p w14:paraId="67875833" w14:textId="77777777" w:rsidR="00B02749" w:rsidRPr="00B02749" w:rsidRDefault="00B02749" w:rsidP="00B02749">
            <w:pPr>
              <w:rPr>
                <w:rFonts w:ascii="Verdana" w:hAnsi="Verdana"/>
                <w:sz w:val="16"/>
                <w:szCs w:val="16"/>
              </w:rPr>
            </w:pPr>
          </w:p>
        </w:tc>
      </w:tr>
      <w:tr w:rsidR="00B02749" w:rsidRPr="00F15578" w14:paraId="595557FC" w14:textId="77777777" w:rsidTr="00A91362">
        <w:trPr>
          <w:trHeight w:val="581"/>
          <w:tblCellSpacing w:w="11" w:type="dxa"/>
        </w:trPr>
        <w:tc>
          <w:tcPr>
            <w:tcW w:w="758" w:type="dxa"/>
            <w:shd w:val="clear" w:color="auto" w:fill="F2F2F2" w:themeFill="background1" w:themeFillShade="F2"/>
          </w:tcPr>
          <w:p w14:paraId="5BE9A9E2" w14:textId="77777777" w:rsidR="00B02749" w:rsidRPr="00F15578" w:rsidRDefault="00B02749" w:rsidP="00B02749">
            <w:pPr>
              <w:rPr>
                <w:rFonts w:ascii="Verdana" w:hAnsi="Verdana"/>
                <w:sz w:val="16"/>
                <w:szCs w:val="16"/>
              </w:rPr>
            </w:pPr>
            <w:r w:rsidRPr="00F15578">
              <w:rPr>
                <w:rFonts w:ascii="Verdana" w:hAnsi="Verdana"/>
                <w:sz w:val="16"/>
                <w:szCs w:val="16"/>
              </w:rPr>
              <w:t>1.1e</w:t>
            </w:r>
          </w:p>
        </w:tc>
        <w:tc>
          <w:tcPr>
            <w:tcW w:w="4144" w:type="dxa"/>
            <w:shd w:val="clear" w:color="auto" w:fill="F2F2F2" w:themeFill="background1" w:themeFillShade="F2"/>
          </w:tcPr>
          <w:p w14:paraId="2E273B10" w14:textId="77777777" w:rsidR="00B02749" w:rsidRPr="00E81168" w:rsidRDefault="00B02749" w:rsidP="00B02749">
            <w:pPr>
              <w:spacing w:line="276" w:lineRule="auto"/>
              <w:rPr>
                <w:rFonts w:ascii="Verdana" w:hAnsi="Verdana"/>
                <w:sz w:val="16"/>
                <w:szCs w:val="16"/>
              </w:rPr>
            </w:pPr>
            <w:r w:rsidRPr="00E81168">
              <w:rPr>
                <w:rFonts w:ascii="Verdana" w:hAnsi="Verdana"/>
                <w:sz w:val="16"/>
                <w:szCs w:val="16"/>
              </w:rPr>
              <w:t xml:space="preserve">Governance arrangements shall ensure registered providers </w:t>
            </w:r>
            <w:r w:rsidRPr="00E81168">
              <w:rPr>
                <w:rFonts w:ascii="Verdana" w:hAnsi="Verdana"/>
                <w:b/>
                <w:sz w:val="16"/>
                <w:szCs w:val="16"/>
              </w:rPr>
              <w:t>have an effective risk management and internal controls assurance framework.</w:t>
            </w:r>
          </w:p>
          <w:p w14:paraId="3211A73C" w14:textId="77777777" w:rsidR="00B02749" w:rsidRPr="00F15578" w:rsidRDefault="00B02749" w:rsidP="00B02749">
            <w:pPr>
              <w:rPr>
                <w:rFonts w:ascii="Verdana" w:hAnsi="Verdana"/>
                <w:sz w:val="16"/>
                <w:szCs w:val="16"/>
              </w:rPr>
            </w:pPr>
          </w:p>
        </w:tc>
        <w:tc>
          <w:tcPr>
            <w:tcW w:w="4797" w:type="dxa"/>
            <w:shd w:val="clear" w:color="auto" w:fill="auto"/>
          </w:tcPr>
          <w:p w14:paraId="6A497B24" w14:textId="77777777" w:rsidR="00B02749" w:rsidRPr="00F15578" w:rsidRDefault="00B02749" w:rsidP="00B02749">
            <w:pPr>
              <w:rPr>
                <w:rFonts w:ascii="Verdana" w:hAnsi="Verdana"/>
                <w:sz w:val="16"/>
                <w:szCs w:val="16"/>
              </w:rPr>
            </w:pPr>
            <w:r w:rsidRPr="00E81168">
              <w:rPr>
                <w:rFonts w:ascii="Verdana" w:hAnsi="Verdana"/>
                <w:sz w:val="16"/>
                <w:szCs w:val="16"/>
              </w:rPr>
              <w:t>7) Registered providers should ensure that they manage their businesses and their risks in such a way that they do not negatively impact on the reputation of the sector.</w:t>
            </w:r>
          </w:p>
        </w:tc>
        <w:tc>
          <w:tcPr>
            <w:tcW w:w="5782" w:type="dxa"/>
            <w:shd w:val="clear" w:color="auto" w:fill="FFFFFF" w:themeFill="background1"/>
          </w:tcPr>
          <w:p w14:paraId="38F92D02" w14:textId="77777777" w:rsidR="00B02749" w:rsidRPr="00B02749" w:rsidRDefault="00B02749" w:rsidP="00B02749">
            <w:pPr>
              <w:rPr>
                <w:rFonts w:ascii="Verdana" w:hAnsi="Verdana"/>
                <w:sz w:val="16"/>
                <w:szCs w:val="16"/>
              </w:rPr>
            </w:pPr>
            <w:r w:rsidRPr="00B02749">
              <w:rPr>
                <w:rFonts w:ascii="Verdana" w:hAnsi="Verdana"/>
                <w:sz w:val="16"/>
                <w:szCs w:val="16"/>
              </w:rPr>
              <w:t xml:space="preserve"> </w:t>
            </w:r>
          </w:p>
          <w:p w14:paraId="4A406B56" w14:textId="77777777" w:rsidR="00B02749" w:rsidRPr="00B02749" w:rsidRDefault="00B02749" w:rsidP="00B02749">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24629245" w14:textId="77777777" w:rsidR="00B02749" w:rsidRPr="00B02749" w:rsidRDefault="00B02749" w:rsidP="00B02749">
            <w:pPr>
              <w:rPr>
                <w:rFonts w:ascii="Verdana" w:hAnsi="Verdana"/>
                <w:sz w:val="16"/>
                <w:szCs w:val="16"/>
              </w:rPr>
            </w:pPr>
          </w:p>
          <w:p w14:paraId="7492143D" w14:textId="77777777" w:rsidR="00B02749" w:rsidRPr="00B02749" w:rsidRDefault="00B02749" w:rsidP="00B02749">
            <w:pPr>
              <w:rPr>
                <w:rFonts w:ascii="Verdana" w:hAnsi="Verdana"/>
                <w:sz w:val="16"/>
                <w:szCs w:val="16"/>
              </w:rPr>
            </w:pPr>
          </w:p>
          <w:p w14:paraId="231F6AB0" w14:textId="77777777" w:rsidR="00B02749" w:rsidRPr="00B02749" w:rsidRDefault="00B02749" w:rsidP="00B02749">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074CA59A" w14:textId="77777777" w:rsidR="00B02749" w:rsidRPr="00B02749" w:rsidRDefault="00B02749" w:rsidP="00B02749">
            <w:pPr>
              <w:pStyle w:val="ListParagraph"/>
              <w:numPr>
                <w:ilvl w:val="0"/>
                <w:numId w:val="70"/>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lastRenderedPageBreak/>
              <w:t>Details of reports, who and when approved</w:t>
            </w:r>
          </w:p>
          <w:p w14:paraId="2279B93F" w14:textId="77777777" w:rsidR="00B02749" w:rsidRPr="00B02749" w:rsidRDefault="00B02749" w:rsidP="00B02749">
            <w:pPr>
              <w:pStyle w:val="ListParagraph"/>
              <w:numPr>
                <w:ilvl w:val="0"/>
                <w:numId w:val="70"/>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32C4777C" w14:textId="77777777" w:rsidR="00B02749" w:rsidRPr="00B02749" w:rsidRDefault="00B02749" w:rsidP="00B02749">
            <w:pPr>
              <w:pStyle w:val="ListParagraph"/>
              <w:numPr>
                <w:ilvl w:val="0"/>
                <w:numId w:val="70"/>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3628A278" w14:textId="77777777" w:rsidR="00B02749" w:rsidRPr="00B02749" w:rsidRDefault="00B02749" w:rsidP="00B02749">
            <w:pPr>
              <w:spacing w:line="276" w:lineRule="auto"/>
              <w:rPr>
                <w:rFonts w:ascii="Verdana" w:hAnsi="Verdana"/>
                <w:bCs/>
                <w:sz w:val="16"/>
                <w:szCs w:val="16"/>
              </w:rPr>
            </w:pPr>
          </w:p>
          <w:p w14:paraId="4FEDA7F0" w14:textId="77777777" w:rsidR="00B02749" w:rsidRPr="00B02749" w:rsidRDefault="00B02749" w:rsidP="00B02749">
            <w:pPr>
              <w:spacing w:line="276" w:lineRule="auto"/>
              <w:rPr>
                <w:rFonts w:ascii="Verdana" w:hAnsi="Verdana"/>
                <w:b/>
                <w:sz w:val="16"/>
                <w:szCs w:val="16"/>
              </w:rPr>
            </w:pPr>
          </w:p>
          <w:p w14:paraId="6B5093ED" w14:textId="38467864" w:rsidR="00B02749" w:rsidRPr="00B02749" w:rsidRDefault="00B02749" w:rsidP="00B02749">
            <w:pPr>
              <w:rPr>
                <w:rFonts w:ascii="Verdana" w:hAnsi="Verdana"/>
                <w:i/>
                <w:iCs/>
                <w:color w:val="E36C0A" w:themeColor="accent6" w:themeShade="BF"/>
                <w:sz w:val="16"/>
                <w:szCs w:val="16"/>
              </w:rPr>
            </w:pPr>
            <w:r w:rsidRPr="00B02749">
              <w:rPr>
                <w:rFonts w:ascii="Verdana" w:hAnsi="Verdana"/>
                <w:b/>
                <w:sz w:val="16"/>
                <w:szCs w:val="16"/>
              </w:rPr>
              <w:t>Action to take</w:t>
            </w:r>
            <w:r w:rsidRPr="00B02749">
              <w:rPr>
                <w:rFonts w:ascii="Verdana" w:hAnsi="Verdana"/>
                <w:b/>
                <w:sz w:val="16"/>
                <w:szCs w:val="16"/>
              </w:rPr>
              <w:t xml:space="preserve">: </w:t>
            </w:r>
            <w:r w:rsidRPr="00B02749">
              <w:rPr>
                <w:rFonts w:ascii="Verdana" w:hAnsi="Verdana"/>
                <w:i/>
                <w:iCs/>
                <w:color w:val="E36C0A" w:themeColor="accent6" w:themeShade="BF"/>
                <w:sz w:val="16"/>
                <w:szCs w:val="16"/>
              </w:rPr>
              <w:t>(</w:t>
            </w:r>
            <w:r w:rsidRPr="00B02749">
              <w:rPr>
                <w:rFonts w:ascii="Verdana" w:hAnsi="Verdana"/>
                <w:i/>
                <w:iCs/>
                <w:color w:val="E36C0A" w:themeColor="accent6" w:themeShade="BF"/>
                <w:sz w:val="16"/>
                <w:szCs w:val="16"/>
              </w:rPr>
              <w:t xml:space="preserve">Details of any actions required to strengthen compliance) </w:t>
            </w:r>
          </w:p>
          <w:p w14:paraId="11ADF324" w14:textId="77777777" w:rsidR="00B02749" w:rsidRPr="00B02749" w:rsidRDefault="00B02749" w:rsidP="00B02749">
            <w:pPr>
              <w:pStyle w:val="ListParagraph"/>
              <w:ind w:left="360"/>
              <w:rPr>
                <w:rFonts w:ascii="Verdana" w:hAnsi="Verdana"/>
                <w:sz w:val="16"/>
                <w:szCs w:val="16"/>
              </w:rPr>
            </w:pPr>
          </w:p>
        </w:tc>
      </w:tr>
      <w:tr w:rsidR="00B02749" w:rsidRPr="00F15578" w14:paraId="083CF5D4" w14:textId="77777777" w:rsidTr="00B02749">
        <w:trPr>
          <w:trHeight w:val="581"/>
          <w:tblCellSpacing w:w="11" w:type="dxa"/>
        </w:trPr>
        <w:tc>
          <w:tcPr>
            <w:tcW w:w="758" w:type="dxa"/>
            <w:shd w:val="clear" w:color="auto" w:fill="F2F2F2" w:themeFill="background1" w:themeFillShade="F2"/>
          </w:tcPr>
          <w:p w14:paraId="3A1D4952" w14:textId="77777777" w:rsidR="00B02749" w:rsidRPr="00F15578" w:rsidRDefault="00B02749" w:rsidP="00B02749">
            <w:pPr>
              <w:rPr>
                <w:rFonts w:ascii="Verdana" w:hAnsi="Verdana"/>
                <w:sz w:val="16"/>
                <w:szCs w:val="16"/>
              </w:rPr>
            </w:pPr>
            <w:r w:rsidRPr="00F15578">
              <w:rPr>
                <w:rFonts w:ascii="Verdana" w:hAnsi="Verdana"/>
                <w:sz w:val="16"/>
                <w:szCs w:val="16"/>
              </w:rPr>
              <w:lastRenderedPageBreak/>
              <w:t>1.1f</w:t>
            </w:r>
          </w:p>
        </w:tc>
        <w:tc>
          <w:tcPr>
            <w:tcW w:w="4144" w:type="dxa"/>
            <w:shd w:val="clear" w:color="auto" w:fill="F2F2F2" w:themeFill="background1" w:themeFillShade="F2"/>
          </w:tcPr>
          <w:p w14:paraId="1092A26A" w14:textId="77777777" w:rsidR="00B02749" w:rsidRPr="00F15578" w:rsidRDefault="00B02749" w:rsidP="00B02749">
            <w:pPr>
              <w:spacing w:line="276" w:lineRule="auto"/>
              <w:rPr>
                <w:rFonts w:ascii="Verdana" w:hAnsi="Verdana"/>
                <w:sz w:val="16"/>
                <w:szCs w:val="16"/>
              </w:rPr>
            </w:pPr>
            <w:r w:rsidRPr="00F15578">
              <w:rPr>
                <w:rFonts w:ascii="Verdana" w:hAnsi="Verdana"/>
                <w:sz w:val="16"/>
                <w:szCs w:val="16"/>
              </w:rPr>
              <w:t>R</w:t>
            </w:r>
            <w:r>
              <w:rPr>
                <w:rFonts w:ascii="Verdana" w:hAnsi="Verdana"/>
                <w:sz w:val="16"/>
                <w:szCs w:val="16"/>
              </w:rPr>
              <w:t>egistered providers</w:t>
            </w:r>
            <w:r w:rsidRPr="00F15578">
              <w:rPr>
                <w:rFonts w:ascii="Verdana" w:hAnsi="Verdana"/>
                <w:sz w:val="16"/>
                <w:szCs w:val="16"/>
              </w:rPr>
              <w:t xml:space="preserve"> shall ensure governance arrangements</w:t>
            </w:r>
            <w:r>
              <w:rPr>
                <w:rFonts w:ascii="Verdana" w:hAnsi="Verdana"/>
                <w:sz w:val="16"/>
                <w:szCs w:val="16"/>
              </w:rPr>
              <w:t xml:space="preserve"> </w:t>
            </w:r>
            <w:r w:rsidRPr="00F15578">
              <w:rPr>
                <w:rFonts w:ascii="Verdana" w:hAnsi="Verdana"/>
                <w:b/>
                <w:sz w:val="16"/>
                <w:szCs w:val="16"/>
              </w:rPr>
              <w:t>protect social housing assets</w:t>
            </w:r>
          </w:p>
          <w:p w14:paraId="646D64E4" w14:textId="77777777" w:rsidR="00B02749" w:rsidRPr="00F15578" w:rsidRDefault="00B02749" w:rsidP="00B02749">
            <w:pPr>
              <w:rPr>
                <w:rFonts w:ascii="Verdana" w:eastAsia="Times New Roman" w:hAnsi="Verdana" w:cs="Arial"/>
                <w:sz w:val="16"/>
                <w:szCs w:val="16"/>
                <w:lang w:val="en-US"/>
              </w:rPr>
            </w:pPr>
          </w:p>
        </w:tc>
        <w:tc>
          <w:tcPr>
            <w:tcW w:w="4797" w:type="dxa"/>
            <w:shd w:val="clear" w:color="auto" w:fill="auto"/>
          </w:tcPr>
          <w:p w14:paraId="53C47B5C" w14:textId="5D77B4CA" w:rsidR="00B02749" w:rsidRPr="00F15578" w:rsidRDefault="00B02749" w:rsidP="00B02749">
            <w:pPr>
              <w:rPr>
                <w:rFonts w:ascii="Verdana" w:hAnsi="Verdana"/>
                <w:sz w:val="16"/>
                <w:szCs w:val="16"/>
              </w:rPr>
            </w:pPr>
            <w:r>
              <w:rPr>
                <w:rFonts w:ascii="Verdana" w:hAnsi="Verdana"/>
                <w:sz w:val="16"/>
                <w:szCs w:val="16"/>
              </w:rPr>
              <w:t>n/a</w:t>
            </w:r>
          </w:p>
        </w:tc>
        <w:tc>
          <w:tcPr>
            <w:tcW w:w="5782" w:type="dxa"/>
            <w:shd w:val="clear" w:color="auto" w:fill="auto"/>
          </w:tcPr>
          <w:p w14:paraId="35BEA7BC" w14:textId="77777777" w:rsidR="00B02749" w:rsidRPr="00B02749" w:rsidRDefault="00B02749" w:rsidP="00B02749">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6E359FC0" w14:textId="77777777" w:rsidR="00B02749" w:rsidRPr="00B02749" w:rsidRDefault="00B02749" w:rsidP="00B02749">
            <w:pPr>
              <w:rPr>
                <w:rFonts w:ascii="Verdana" w:hAnsi="Verdana"/>
                <w:sz w:val="16"/>
                <w:szCs w:val="16"/>
              </w:rPr>
            </w:pPr>
          </w:p>
          <w:p w14:paraId="1A3E7B65" w14:textId="77777777" w:rsidR="00B02749" w:rsidRPr="00B02749" w:rsidRDefault="00B02749" w:rsidP="00B02749">
            <w:pPr>
              <w:rPr>
                <w:rFonts w:ascii="Verdana" w:hAnsi="Verdana"/>
                <w:sz w:val="16"/>
                <w:szCs w:val="16"/>
              </w:rPr>
            </w:pPr>
          </w:p>
          <w:p w14:paraId="6A1081DE" w14:textId="77777777" w:rsidR="00B02749" w:rsidRPr="00B02749" w:rsidRDefault="00B02749" w:rsidP="00B02749">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165319FC" w14:textId="77777777" w:rsidR="00B02749" w:rsidRPr="00B02749" w:rsidRDefault="00B02749" w:rsidP="00B02749">
            <w:pPr>
              <w:pStyle w:val="ListParagraph"/>
              <w:numPr>
                <w:ilvl w:val="0"/>
                <w:numId w:val="77"/>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0D18A773" w14:textId="77777777" w:rsidR="00B02749" w:rsidRPr="00B02749" w:rsidRDefault="00B02749" w:rsidP="00B02749">
            <w:pPr>
              <w:pStyle w:val="ListParagraph"/>
              <w:numPr>
                <w:ilvl w:val="0"/>
                <w:numId w:val="77"/>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05DCA486" w14:textId="77777777" w:rsidR="00B02749" w:rsidRPr="00B02749" w:rsidRDefault="00B02749" w:rsidP="00B02749">
            <w:pPr>
              <w:pStyle w:val="ListParagraph"/>
              <w:numPr>
                <w:ilvl w:val="0"/>
                <w:numId w:val="77"/>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7CA04F90" w14:textId="77777777" w:rsidR="00B02749" w:rsidRPr="00B02749" w:rsidRDefault="00B02749" w:rsidP="00B02749">
            <w:pPr>
              <w:spacing w:line="276" w:lineRule="auto"/>
              <w:rPr>
                <w:rFonts w:ascii="Verdana" w:hAnsi="Verdana"/>
                <w:bCs/>
                <w:sz w:val="16"/>
                <w:szCs w:val="16"/>
              </w:rPr>
            </w:pPr>
          </w:p>
          <w:p w14:paraId="2D1951EE" w14:textId="77777777" w:rsidR="00B02749" w:rsidRPr="00B02749" w:rsidRDefault="00B02749" w:rsidP="00B02749">
            <w:pPr>
              <w:spacing w:line="276" w:lineRule="auto"/>
              <w:rPr>
                <w:rFonts w:ascii="Verdana" w:hAnsi="Verdana"/>
                <w:b/>
                <w:sz w:val="16"/>
                <w:szCs w:val="16"/>
              </w:rPr>
            </w:pPr>
          </w:p>
          <w:p w14:paraId="3F68F2CD" w14:textId="77777777" w:rsidR="00B02749" w:rsidRPr="00B02749" w:rsidRDefault="00B02749" w:rsidP="00B02749">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06370810" w14:textId="77777777" w:rsidR="00B02749" w:rsidRPr="00C8715D" w:rsidRDefault="00B02749" w:rsidP="00B02749">
            <w:pPr>
              <w:rPr>
                <w:rFonts w:ascii="Verdana" w:hAnsi="Verdana"/>
                <w:sz w:val="16"/>
                <w:szCs w:val="16"/>
              </w:rPr>
            </w:pPr>
          </w:p>
        </w:tc>
      </w:tr>
      <w:tr w:rsidR="00B02749" w:rsidRPr="00F15578" w14:paraId="1EDF70D8" w14:textId="77777777" w:rsidTr="00462B2F">
        <w:trPr>
          <w:tblCellSpacing w:w="11" w:type="dxa"/>
        </w:trPr>
        <w:tc>
          <w:tcPr>
            <w:tcW w:w="758" w:type="dxa"/>
            <w:shd w:val="clear" w:color="auto" w:fill="BFBFBF" w:themeFill="background1" w:themeFillShade="BF"/>
          </w:tcPr>
          <w:p w14:paraId="25AF7958" w14:textId="77777777" w:rsidR="00B02749" w:rsidRPr="00F15578" w:rsidRDefault="00B02749" w:rsidP="00B02749">
            <w:pPr>
              <w:rPr>
                <w:rFonts w:ascii="Verdana" w:hAnsi="Verdana"/>
                <w:b/>
                <w:sz w:val="16"/>
                <w:szCs w:val="16"/>
              </w:rPr>
            </w:pPr>
          </w:p>
          <w:p w14:paraId="57CEE8B4" w14:textId="77777777" w:rsidR="00B02749" w:rsidRPr="00F15578" w:rsidRDefault="00B02749" w:rsidP="00B02749">
            <w:pPr>
              <w:rPr>
                <w:rFonts w:ascii="Verdana" w:hAnsi="Verdana"/>
                <w:b/>
                <w:sz w:val="16"/>
                <w:szCs w:val="16"/>
              </w:rPr>
            </w:pPr>
            <w:r w:rsidRPr="00F15578">
              <w:rPr>
                <w:rFonts w:ascii="Verdana" w:hAnsi="Verdana"/>
                <w:b/>
                <w:sz w:val="16"/>
                <w:szCs w:val="16"/>
              </w:rPr>
              <w:t>1.2</w:t>
            </w:r>
          </w:p>
        </w:tc>
        <w:tc>
          <w:tcPr>
            <w:tcW w:w="14767" w:type="dxa"/>
            <w:gridSpan w:val="3"/>
            <w:shd w:val="clear" w:color="auto" w:fill="BFBFBF" w:themeFill="background1" w:themeFillShade="BF"/>
          </w:tcPr>
          <w:p w14:paraId="37C22306" w14:textId="77777777" w:rsidR="00B02749" w:rsidRPr="00F15578" w:rsidRDefault="00B02749" w:rsidP="00B02749">
            <w:pPr>
              <w:rPr>
                <w:rFonts w:ascii="Verdana" w:hAnsi="Verdana"/>
                <w:b/>
                <w:sz w:val="16"/>
                <w:szCs w:val="16"/>
              </w:rPr>
            </w:pPr>
          </w:p>
          <w:p w14:paraId="2DC66AA8" w14:textId="77777777" w:rsidR="00B02749" w:rsidRDefault="00B02749" w:rsidP="00B02749">
            <w:pPr>
              <w:rPr>
                <w:rFonts w:ascii="Verdana" w:hAnsi="Verdana"/>
                <w:b/>
                <w:sz w:val="16"/>
                <w:szCs w:val="16"/>
              </w:rPr>
            </w:pPr>
            <w:r w:rsidRPr="00F15578">
              <w:rPr>
                <w:rFonts w:ascii="Verdana" w:hAnsi="Verdana"/>
                <w:b/>
                <w:sz w:val="16"/>
                <w:szCs w:val="16"/>
              </w:rPr>
              <w:t xml:space="preserve">Required Outcomes – Financial viability </w:t>
            </w:r>
          </w:p>
          <w:p w14:paraId="2FF681D4" w14:textId="77777777" w:rsidR="00B02749" w:rsidRDefault="00B02749" w:rsidP="00B02749">
            <w:pPr>
              <w:rPr>
                <w:rFonts w:ascii="Verdana" w:hAnsi="Verdana"/>
                <w:b/>
                <w:sz w:val="16"/>
                <w:szCs w:val="16"/>
              </w:rPr>
            </w:pPr>
          </w:p>
        </w:tc>
      </w:tr>
      <w:tr w:rsidR="00B02749" w:rsidRPr="00F15578" w14:paraId="1216B0BA" w14:textId="77777777" w:rsidTr="00B02749">
        <w:trPr>
          <w:trHeight w:val="651"/>
          <w:tblCellSpacing w:w="11" w:type="dxa"/>
        </w:trPr>
        <w:tc>
          <w:tcPr>
            <w:tcW w:w="758" w:type="dxa"/>
            <w:shd w:val="clear" w:color="auto" w:fill="F2F2F2" w:themeFill="background1" w:themeFillShade="F2"/>
          </w:tcPr>
          <w:p w14:paraId="7CF8C53D" w14:textId="77777777" w:rsidR="00B02749" w:rsidRPr="00F15578" w:rsidRDefault="00B02749" w:rsidP="00B02749">
            <w:pPr>
              <w:rPr>
                <w:rFonts w:ascii="Verdana" w:hAnsi="Verdana"/>
                <w:sz w:val="16"/>
                <w:szCs w:val="16"/>
              </w:rPr>
            </w:pPr>
            <w:r w:rsidRPr="00F15578">
              <w:rPr>
                <w:rFonts w:ascii="Verdana" w:hAnsi="Verdana"/>
                <w:sz w:val="16"/>
                <w:szCs w:val="16"/>
              </w:rPr>
              <w:t>1.2</w:t>
            </w:r>
          </w:p>
        </w:tc>
        <w:tc>
          <w:tcPr>
            <w:tcW w:w="4144" w:type="dxa"/>
            <w:shd w:val="clear" w:color="auto" w:fill="F2F2F2" w:themeFill="background1" w:themeFillShade="F2"/>
          </w:tcPr>
          <w:p w14:paraId="6EB3ACE5" w14:textId="77777777" w:rsidR="00B02749" w:rsidRPr="00F15578" w:rsidRDefault="00B02749" w:rsidP="00B02749">
            <w:pPr>
              <w:spacing w:line="276" w:lineRule="auto"/>
              <w:rPr>
                <w:rFonts w:ascii="Verdana" w:hAnsi="Verdana"/>
                <w:sz w:val="16"/>
                <w:szCs w:val="16"/>
              </w:rPr>
            </w:pPr>
            <w:r w:rsidRPr="00F15578">
              <w:rPr>
                <w:rFonts w:ascii="Verdana" w:hAnsi="Verdana"/>
                <w:sz w:val="16"/>
                <w:szCs w:val="16"/>
              </w:rPr>
              <w:t xml:space="preserve">Registered providers shall manage their resources </w:t>
            </w:r>
            <w:r w:rsidRPr="00F15578">
              <w:rPr>
                <w:rFonts w:ascii="Verdana" w:hAnsi="Verdana"/>
                <w:b/>
                <w:sz w:val="16"/>
                <w:szCs w:val="16"/>
              </w:rPr>
              <w:t xml:space="preserve">effectively to ensure their viability </w:t>
            </w:r>
            <w:r w:rsidRPr="00F15578">
              <w:rPr>
                <w:rFonts w:ascii="Verdana" w:hAnsi="Verdana"/>
                <w:sz w:val="16"/>
                <w:szCs w:val="16"/>
              </w:rPr>
              <w:t>is maintained while ensuring that social housing assets are not put at undue risk.</w:t>
            </w:r>
          </w:p>
          <w:p w14:paraId="7DFCB138" w14:textId="77777777" w:rsidR="00B02749" w:rsidRPr="00F15578" w:rsidRDefault="00B02749" w:rsidP="00B02749">
            <w:pPr>
              <w:spacing w:line="276" w:lineRule="auto"/>
              <w:rPr>
                <w:rFonts w:ascii="Verdana" w:hAnsi="Verdana"/>
                <w:sz w:val="16"/>
                <w:szCs w:val="16"/>
              </w:rPr>
            </w:pPr>
          </w:p>
        </w:tc>
        <w:tc>
          <w:tcPr>
            <w:tcW w:w="4797" w:type="dxa"/>
            <w:shd w:val="clear" w:color="auto" w:fill="auto"/>
          </w:tcPr>
          <w:p w14:paraId="62279E10" w14:textId="77777777" w:rsidR="00B02749" w:rsidRPr="00E81168" w:rsidRDefault="00B02749" w:rsidP="00B02749">
            <w:pPr>
              <w:pStyle w:val="Default"/>
              <w:spacing w:line="276" w:lineRule="auto"/>
              <w:rPr>
                <w:rFonts w:ascii="Verdana" w:hAnsi="Verdana" w:cstheme="minorBidi"/>
                <w:color w:val="auto"/>
                <w:sz w:val="16"/>
                <w:szCs w:val="16"/>
              </w:rPr>
            </w:pPr>
            <w:r w:rsidRPr="00E81168">
              <w:rPr>
                <w:rFonts w:ascii="Verdana" w:hAnsi="Verdana" w:cstheme="minorBidi"/>
                <w:color w:val="auto"/>
                <w:sz w:val="16"/>
                <w:szCs w:val="16"/>
              </w:rPr>
              <w:t xml:space="preserve">8) Registered providers should take all such steps as are reasonably necessary to ensure that any activities they undertake do not place social housing assets, activities relating to the provision of social housing or their own financial viability at undue risk. The regulator recognises that registered providers should have the flexibility to consider risks </w:t>
            </w:r>
            <w:proofErr w:type="gramStart"/>
            <w:r w:rsidRPr="00E81168">
              <w:rPr>
                <w:rFonts w:ascii="Verdana" w:hAnsi="Verdana" w:cstheme="minorBidi"/>
                <w:color w:val="auto"/>
                <w:sz w:val="16"/>
                <w:szCs w:val="16"/>
              </w:rPr>
              <w:t>in light of</w:t>
            </w:r>
            <w:proofErr w:type="gramEnd"/>
            <w:r w:rsidRPr="00E81168">
              <w:rPr>
                <w:rFonts w:ascii="Verdana" w:hAnsi="Verdana" w:cstheme="minorBidi"/>
                <w:color w:val="auto"/>
                <w:sz w:val="16"/>
                <w:szCs w:val="16"/>
              </w:rPr>
              <w:t xml:space="preserve"> their individual circumstances. Boards of registered providers have the responsibility to satisfy themselves and provide assurance to the regulator that: </w:t>
            </w:r>
          </w:p>
          <w:p w14:paraId="24E7BB3C" w14:textId="77777777" w:rsidR="00B02749" w:rsidRPr="00E81168" w:rsidRDefault="00B02749" w:rsidP="00B02749">
            <w:pPr>
              <w:pStyle w:val="Default"/>
              <w:numPr>
                <w:ilvl w:val="0"/>
                <w:numId w:val="6"/>
              </w:numPr>
              <w:spacing w:line="276" w:lineRule="auto"/>
              <w:rPr>
                <w:rFonts w:ascii="Verdana" w:hAnsi="Verdana" w:cstheme="minorBidi"/>
                <w:color w:val="auto"/>
                <w:sz w:val="16"/>
                <w:szCs w:val="16"/>
              </w:rPr>
            </w:pPr>
            <w:r w:rsidRPr="00E81168">
              <w:rPr>
                <w:rFonts w:ascii="Verdana" w:hAnsi="Verdana" w:cstheme="minorBidi"/>
                <w:color w:val="auto"/>
                <w:sz w:val="16"/>
                <w:szCs w:val="16"/>
              </w:rPr>
              <w:t>they have considered the requirement appropriately in relation to their own external and internal operating environment</w:t>
            </w:r>
          </w:p>
          <w:p w14:paraId="6906A417" w14:textId="77777777" w:rsidR="00B02749" w:rsidRPr="00E81168" w:rsidRDefault="00B02749" w:rsidP="00B02749">
            <w:pPr>
              <w:pStyle w:val="ListParagraph"/>
              <w:numPr>
                <w:ilvl w:val="0"/>
                <w:numId w:val="6"/>
              </w:numPr>
              <w:spacing w:line="276" w:lineRule="auto"/>
              <w:rPr>
                <w:rFonts w:ascii="Verdana" w:hAnsi="Verdana"/>
                <w:sz w:val="16"/>
                <w:szCs w:val="16"/>
              </w:rPr>
            </w:pPr>
            <w:r w:rsidRPr="00E81168">
              <w:rPr>
                <w:rFonts w:ascii="Verdana" w:hAnsi="Verdana"/>
                <w:sz w:val="16"/>
                <w:szCs w:val="16"/>
              </w:rPr>
              <w:t>they are satisfied they will comply with regulatory requirements now and in the foreseeable future</w:t>
            </w:r>
          </w:p>
          <w:p w14:paraId="3ED20882" w14:textId="77777777" w:rsidR="00B02749" w:rsidRPr="00E81168" w:rsidRDefault="00B02749" w:rsidP="00B02749">
            <w:pPr>
              <w:spacing w:line="276" w:lineRule="auto"/>
              <w:rPr>
                <w:rFonts w:ascii="Verdana" w:hAnsi="Verdana"/>
                <w:sz w:val="16"/>
                <w:szCs w:val="16"/>
              </w:rPr>
            </w:pPr>
          </w:p>
          <w:p w14:paraId="1A9D2A43" w14:textId="77777777" w:rsidR="00B02749" w:rsidRPr="00E81168" w:rsidRDefault="00B02749" w:rsidP="00B02749">
            <w:pPr>
              <w:pStyle w:val="Default"/>
              <w:spacing w:line="276" w:lineRule="auto"/>
              <w:rPr>
                <w:rFonts w:ascii="Verdana" w:hAnsi="Verdana"/>
                <w:color w:val="auto"/>
                <w:sz w:val="16"/>
                <w:szCs w:val="16"/>
              </w:rPr>
            </w:pPr>
            <w:r w:rsidRPr="00E81168">
              <w:rPr>
                <w:rFonts w:ascii="Verdana" w:hAnsi="Verdana"/>
                <w:color w:val="auto"/>
                <w:sz w:val="16"/>
                <w:szCs w:val="16"/>
              </w:rPr>
              <w:t xml:space="preserve">9) Examples of what the regulator considers to be unacceptable outcomes resulting from social housing </w:t>
            </w:r>
            <w:r w:rsidRPr="00E81168">
              <w:rPr>
                <w:rFonts w:ascii="Verdana" w:hAnsi="Verdana"/>
                <w:color w:val="auto"/>
                <w:sz w:val="16"/>
                <w:szCs w:val="16"/>
              </w:rPr>
              <w:lastRenderedPageBreak/>
              <w:t xml:space="preserve">assets being put at undue risk are outlined below. These examples are not intended to be exhaustive but rather to give context to registered providers in considering the risks within their business: </w:t>
            </w:r>
          </w:p>
          <w:p w14:paraId="1A6B0750" w14:textId="77777777" w:rsidR="00B02749" w:rsidRPr="00E81168" w:rsidRDefault="00B02749" w:rsidP="00B02749">
            <w:pPr>
              <w:pStyle w:val="Default"/>
              <w:numPr>
                <w:ilvl w:val="0"/>
                <w:numId w:val="7"/>
              </w:numPr>
              <w:spacing w:after="190" w:line="276" w:lineRule="auto"/>
              <w:rPr>
                <w:rFonts w:ascii="Verdana" w:hAnsi="Verdana"/>
                <w:color w:val="auto"/>
                <w:sz w:val="16"/>
                <w:szCs w:val="16"/>
              </w:rPr>
            </w:pPr>
            <w:r w:rsidRPr="00E81168">
              <w:rPr>
                <w:rFonts w:ascii="Verdana" w:hAnsi="Verdana"/>
                <w:color w:val="auto"/>
                <w:sz w:val="16"/>
                <w:szCs w:val="16"/>
              </w:rPr>
              <w:t>loss of social housing assets and/or tenants losing their home or the benefits of being within a regulated sector due to lenders or others enforcing their security or insolvency.</w:t>
            </w:r>
          </w:p>
          <w:p w14:paraId="170439AB" w14:textId="77777777" w:rsidR="00B02749" w:rsidRPr="00E81168" w:rsidRDefault="00B02749" w:rsidP="00B02749">
            <w:pPr>
              <w:pStyle w:val="Default"/>
              <w:numPr>
                <w:ilvl w:val="0"/>
                <w:numId w:val="7"/>
              </w:numPr>
              <w:spacing w:line="276" w:lineRule="auto"/>
              <w:rPr>
                <w:rFonts w:ascii="Verdana" w:hAnsi="Verdana"/>
                <w:color w:val="auto"/>
                <w:sz w:val="16"/>
                <w:szCs w:val="16"/>
              </w:rPr>
            </w:pPr>
            <w:r w:rsidRPr="00E81168">
              <w:rPr>
                <w:rFonts w:ascii="Verdana" w:hAnsi="Verdana"/>
                <w:color w:val="auto"/>
                <w:sz w:val="16"/>
                <w:szCs w:val="16"/>
              </w:rPr>
              <w:t>loss of social housing assets where the sale of those assets is the result of poor business planning and decisions or where the reason for the sale is to make good an unplanned cash shortfall.</w:t>
            </w:r>
          </w:p>
          <w:p w14:paraId="1825120A" w14:textId="77777777" w:rsidR="00B02749" w:rsidRPr="00E81168" w:rsidRDefault="00B02749" w:rsidP="00B02749">
            <w:pPr>
              <w:spacing w:line="276" w:lineRule="auto"/>
              <w:rPr>
                <w:rFonts w:ascii="Verdana" w:hAnsi="Verdana"/>
                <w:sz w:val="16"/>
                <w:szCs w:val="16"/>
              </w:rPr>
            </w:pPr>
          </w:p>
          <w:p w14:paraId="6131D6F5" w14:textId="77777777" w:rsidR="00B02749" w:rsidRPr="00E81168" w:rsidRDefault="00B02749" w:rsidP="00B02749">
            <w:pPr>
              <w:pStyle w:val="Default"/>
              <w:spacing w:line="276" w:lineRule="auto"/>
              <w:rPr>
                <w:rFonts w:ascii="Verdana" w:hAnsi="Verdana"/>
                <w:color w:val="auto"/>
                <w:sz w:val="16"/>
                <w:szCs w:val="16"/>
              </w:rPr>
            </w:pPr>
            <w:r w:rsidRPr="00E81168">
              <w:rPr>
                <w:rFonts w:ascii="Verdana" w:hAnsi="Verdana"/>
                <w:color w:val="auto"/>
                <w:sz w:val="16"/>
                <w:szCs w:val="16"/>
              </w:rPr>
              <w:t xml:space="preserve">10) The regulator recognises every business decision will carry risk and sometimes those risks will crystallise. There is, however, a difference between managed risk and uncontrolled loss. The regulator expects boards to manage the business to promote the former and avoid the latter. </w:t>
            </w:r>
          </w:p>
          <w:p w14:paraId="5010603A" w14:textId="77777777" w:rsidR="00B02749" w:rsidRPr="00E81168" w:rsidRDefault="00B02749" w:rsidP="00B02749">
            <w:pPr>
              <w:pStyle w:val="Default"/>
              <w:spacing w:line="276" w:lineRule="auto"/>
              <w:rPr>
                <w:rFonts w:ascii="Verdana" w:hAnsi="Verdana"/>
                <w:color w:val="auto"/>
                <w:sz w:val="16"/>
                <w:szCs w:val="16"/>
              </w:rPr>
            </w:pPr>
          </w:p>
          <w:p w14:paraId="1F486824" w14:textId="77777777" w:rsidR="00B02749" w:rsidRDefault="00B02749" w:rsidP="00B02749">
            <w:pPr>
              <w:rPr>
                <w:rFonts w:ascii="Verdana" w:hAnsi="Verdana"/>
                <w:sz w:val="16"/>
                <w:szCs w:val="16"/>
              </w:rPr>
            </w:pPr>
            <w:r w:rsidRPr="00E81168">
              <w:rPr>
                <w:rFonts w:ascii="Verdana" w:hAnsi="Verdana"/>
                <w:sz w:val="16"/>
                <w:szCs w:val="16"/>
              </w:rPr>
              <w:t>In addition, the regulator does not intend that all social housing assets should remain in the sector for ever. However, the value in the assets should not be lost to the sector. Under the Value for Money Standard, registered providers are expected to consider how to make best use of their assets.</w:t>
            </w:r>
          </w:p>
          <w:p w14:paraId="37CFE31A" w14:textId="77777777" w:rsidR="00B02749" w:rsidRPr="00F15578" w:rsidRDefault="00B02749" w:rsidP="00B02749">
            <w:pPr>
              <w:rPr>
                <w:rFonts w:ascii="Verdana" w:hAnsi="Verdana"/>
                <w:sz w:val="16"/>
                <w:szCs w:val="16"/>
              </w:rPr>
            </w:pPr>
          </w:p>
        </w:tc>
        <w:tc>
          <w:tcPr>
            <w:tcW w:w="5782" w:type="dxa"/>
            <w:shd w:val="clear" w:color="auto" w:fill="auto"/>
          </w:tcPr>
          <w:p w14:paraId="5057D357" w14:textId="77777777" w:rsidR="00B02749" w:rsidRPr="00B02749" w:rsidRDefault="00B02749" w:rsidP="00B02749">
            <w:pPr>
              <w:rPr>
                <w:rFonts w:ascii="Verdana" w:hAnsi="Verdana"/>
                <w:i/>
                <w:iCs/>
                <w:color w:val="E36C0A" w:themeColor="accent6" w:themeShade="BF"/>
                <w:sz w:val="16"/>
                <w:szCs w:val="16"/>
              </w:rPr>
            </w:pPr>
            <w:r>
              <w:rPr>
                <w:rFonts w:ascii="Verdana" w:hAnsi="Verdana"/>
                <w:sz w:val="16"/>
                <w:szCs w:val="16"/>
              </w:rPr>
              <w:lastRenderedPageBreak/>
              <w:t xml:space="preserve"> </w:t>
            </w:r>
            <w:r w:rsidRPr="00B02749">
              <w:rPr>
                <w:rFonts w:ascii="Verdana" w:hAnsi="Verdana"/>
                <w:i/>
                <w:iCs/>
                <w:color w:val="E36C0A" w:themeColor="accent6" w:themeShade="BF"/>
                <w:sz w:val="16"/>
                <w:szCs w:val="16"/>
              </w:rPr>
              <w:t xml:space="preserve">(Paragraphs of how the organisations comply with the requirements) </w:t>
            </w:r>
          </w:p>
          <w:p w14:paraId="5453874C" w14:textId="77777777" w:rsidR="00B02749" w:rsidRPr="00B02749" w:rsidRDefault="00B02749" w:rsidP="00B02749">
            <w:pPr>
              <w:rPr>
                <w:rFonts w:ascii="Verdana" w:hAnsi="Verdana"/>
                <w:sz w:val="16"/>
                <w:szCs w:val="16"/>
              </w:rPr>
            </w:pPr>
          </w:p>
          <w:p w14:paraId="237A4E85" w14:textId="77777777" w:rsidR="00B02749" w:rsidRPr="00B02749" w:rsidRDefault="00B02749" w:rsidP="00B02749">
            <w:pPr>
              <w:rPr>
                <w:rFonts w:ascii="Verdana" w:hAnsi="Verdana"/>
                <w:sz w:val="16"/>
                <w:szCs w:val="16"/>
              </w:rPr>
            </w:pPr>
          </w:p>
          <w:p w14:paraId="26230AFA" w14:textId="77777777" w:rsidR="00B02749" w:rsidRPr="00B02749" w:rsidRDefault="00B02749" w:rsidP="00B02749">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2968D750" w14:textId="77777777" w:rsidR="00B02749" w:rsidRPr="00B02749" w:rsidRDefault="00B02749" w:rsidP="00B02749">
            <w:pPr>
              <w:pStyle w:val="ListParagraph"/>
              <w:numPr>
                <w:ilvl w:val="0"/>
                <w:numId w:val="76"/>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3618DE45" w14:textId="77777777" w:rsidR="00B02749" w:rsidRPr="00B02749" w:rsidRDefault="00B02749" w:rsidP="00B02749">
            <w:pPr>
              <w:pStyle w:val="ListParagraph"/>
              <w:numPr>
                <w:ilvl w:val="0"/>
                <w:numId w:val="76"/>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7313DE78" w14:textId="77777777" w:rsidR="00B02749" w:rsidRPr="00B02749" w:rsidRDefault="00B02749" w:rsidP="00B02749">
            <w:pPr>
              <w:pStyle w:val="ListParagraph"/>
              <w:numPr>
                <w:ilvl w:val="0"/>
                <w:numId w:val="76"/>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5C4AA6E4" w14:textId="77777777" w:rsidR="00B02749" w:rsidRPr="00B02749" w:rsidRDefault="00B02749" w:rsidP="00B02749">
            <w:pPr>
              <w:spacing w:line="276" w:lineRule="auto"/>
              <w:rPr>
                <w:rFonts w:ascii="Verdana" w:hAnsi="Verdana"/>
                <w:bCs/>
                <w:sz w:val="16"/>
                <w:szCs w:val="16"/>
              </w:rPr>
            </w:pPr>
          </w:p>
          <w:p w14:paraId="36F15810" w14:textId="77777777" w:rsidR="00B02749" w:rsidRPr="00B02749" w:rsidRDefault="00B02749" w:rsidP="00B02749">
            <w:pPr>
              <w:spacing w:line="276" w:lineRule="auto"/>
              <w:rPr>
                <w:rFonts w:ascii="Verdana" w:hAnsi="Verdana"/>
                <w:b/>
                <w:sz w:val="16"/>
                <w:szCs w:val="16"/>
              </w:rPr>
            </w:pPr>
          </w:p>
          <w:p w14:paraId="63CC327B" w14:textId="77777777" w:rsidR="00B02749" w:rsidRPr="00B02749" w:rsidRDefault="00B02749" w:rsidP="00B02749">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68F174B2" w14:textId="2BB97C44" w:rsidR="00B02749" w:rsidRPr="00476988" w:rsidRDefault="00B02749" w:rsidP="00B02749">
            <w:pPr>
              <w:pStyle w:val="ListParagraph"/>
              <w:ind w:left="360"/>
              <w:rPr>
                <w:rFonts w:ascii="Verdana" w:hAnsi="Verdana"/>
                <w:sz w:val="16"/>
                <w:szCs w:val="16"/>
              </w:rPr>
            </w:pPr>
          </w:p>
        </w:tc>
      </w:tr>
      <w:tr w:rsidR="00B02749" w:rsidRPr="00F15578" w14:paraId="2351CBAA" w14:textId="77777777" w:rsidTr="00462B2F">
        <w:trPr>
          <w:tblCellSpacing w:w="11" w:type="dxa"/>
        </w:trPr>
        <w:tc>
          <w:tcPr>
            <w:tcW w:w="758" w:type="dxa"/>
            <w:shd w:val="clear" w:color="auto" w:fill="BFBFBF" w:themeFill="background1" w:themeFillShade="BF"/>
          </w:tcPr>
          <w:p w14:paraId="0B867DCE" w14:textId="77777777" w:rsidR="00B02749" w:rsidRPr="00462B2F" w:rsidRDefault="00B02749" w:rsidP="00B02749">
            <w:pPr>
              <w:rPr>
                <w:rFonts w:ascii="Verdana" w:hAnsi="Verdana"/>
                <w:b/>
                <w:sz w:val="6"/>
                <w:szCs w:val="16"/>
              </w:rPr>
            </w:pPr>
          </w:p>
          <w:p w14:paraId="4194FE16" w14:textId="77777777" w:rsidR="00B02749" w:rsidRDefault="00B02749" w:rsidP="00B02749">
            <w:pPr>
              <w:rPr>
                <w:rFonts w:ascii="Verdana" w:hAnsi="Verdana"/>
                <w:b/>
                <w:sz w:val="16"/>
                <w:szCs w:val="16"/>
              </w:rPr>
            </w:pPr>
            <w:r w:rsidRPr="00F15578">
              <w:rPr>
                <w:rFonts w:ascii="Verdana" w:hAnsi="Verdana"/>
                <w:b/>
                <w:sz w:val="16"/>
                <w:szCs w:val="16"/>
              </w:rPr>
              <w:t>2.</w:t>
            </w:r>
          </w:p>
          <w:p w14:paraId="0BE458F4" w14:textId="77777777" w:rsidR="00B02749" w:rsidRPr="00F15578" w:rsidRDefault="00B02749" w:rsidP="00B02749">
            <w:pPr>
              <w:rPr>
                <w:rFonts w:ascii="Verdana" w:hAnsi="Verdana"/>
                <w:b/>
                <w:sz w:val="16"/>
                <w:szCs w:val="16"/>
              </w:rPr>
            </w:pPr>
          </w:p>
        </w:tc>
        <w:tc>
          <w:tcPr>
            <w:tcW w:w="14767" w:type="dxa"/>
            <w:gridSpan w:val="3"/>
            <w:shd w:val="clear" w:color="auto" w:fill="BFBFBF" w:themeFill="background1" w:themeFillShade="BF"/>
          </w:tcPr>
          <w:p w14:paraId="52353CA4" w14:textId="77777777" w:rsidR="00B02749" w:rsidRPr="00462B2F" w:rsidRDefault="00B02749" w:rsidP="00B02749">
            <w:pPr>
              <w:rPr>
                <w:rFonts w:ascii="Verdana" w:hAnsi="Verdana"/>
                <w:b/>
                <w:sz w:val="8"/>
                <w:szCs w:val="16"/>
              </w:rPr>
            </w:pPr>
          </w:p>
          <w:p w14:paraId="5F643BAA" w14:textId="77777777" w:rsidR="00B02749" w:rsidRPr="00462B2F" w:rsidRDefault="00B02749" w:rsidP="00B02749">
            <w:pPr>
              <w:rPr>
                <w:rFonts w:ascii="Verdana" w:hAnsi="Verdana"/>
                <w:b/>
                <w:sz w:val="16"/>
                <w:szCs w:val="16"/>
              </w:rPr>
            </w:pPr>
            <w:r w:rsidRPr="00462B2F">
              <w:rPr>
                <w:rFonts w:ascii="Verdana" w:hAnsi="Verdana"/>
                <w:b/>
                <w:sz w:val="16"/>
                <w:szCs w:val="16"/>
              </w:rPr>
              <w:t xml:space="preserve">Specific expectations   </w:t>
            </w:r>
          </w:p>
        </w:tc>
      </w:tr>
      <w:tr w:rsidR="00B02749" w:rsidRPr="00F15578" w14:paraId="31D0F576" w14:textId="77777777" w:rsidTr="00B02749">
        <w:trPr>
          <w:trHeight w:val="311"/>
          <w:tblCellSpacing w:w="11" w:type="dxa"/>
        </w:trPr>
        <w:tc>
          <w:tcPr>
            <w:tcW w:w="758" w:type="dxa"/>
            <w:shd w:val="clear" w:color="auto" w:fill="F2F2F2" w:themeFill="background1" w:themeFillShade="F2"/>
          </w:tcPr>
          <w:p w14:paraId="13FF099C" w14:textId="77777777" w:rsidR="00B02749" w:rsidRPr="00F15578" w:rsidRDefault="00B02749" w:rsidP="00B02749">
            <w:pPr>
              <w:rPr>
                <w:rFonts w:ascii="Verdana" w:hAnsi="Verdana"/>
                <w:sz w:val="16"/>
                <w:szCs w:val="16"/>
              </w:rPr>
            </w:pPr>
            <w:r w:rsidRPr="00F15578">
              <w:rPr>
                <w:rFonts w:ascii="Verdana" w:hAnsi="Verdana"/>
                <w:sz w:val="16"/>
                <w:szCs w:val="16"/>
              </w:rPr>
              <w:t>2.1.1</w:t>
            </w:r>
          </w:p>
        </w:tc>
        <w:tc>
          <w:tcPr>
            <w:tcW w:w="4144" w:type="dxa"/>
            <w:shd w:val="clear" w:color="auto" w:fill="F2F2F2" w:themeFill="background1" w:themeFillShade="F2"/>
          </w:tcPr>
          <w:p w14:paraId="3A2058C6" w14:textId="77777777" w:rsidR="00B02749" w:rsidRPr="00F15578" w:rsidRDefault="00B02749" w:rsidP="00B02749">
            <w:pPr>
              <w:rPr>
                <w:rFonts w:ascii="Verdana" w:hAnsi="Verdana"/>
                <w:sz w:val="16"/>
                <w:szCs w:val="16"/>
              </w:rPr>
            </w:pPr>
            <w:r w:rsidRPr="00F15578">
              <w:rPr>
                <w:rFonts w:ascii="Verdana" w:hAnsi="Verdana"/>
                <w:sz w:val="16"/>
                <w:szCs w:val="16"/>
              </w:rPr>
              <w:t xml:space="preserve">Registered providers shall adopt and comply with an </w:t>
            </w:r>
            <w:r w:rsidRPr="00F15578">
              <w:rPr>
                <w:rFonts w:ascii="Verdana" w:hAnsi="Verdana"/>
                <w:b/>
                <w:i/>
                <w:sz w:val="16"/>
                <w:szCs w:val="16"/>
              </w:rPr>
              <w:t>appropriate code</w:t>
            </w:r>
            <w:r w:rsidRPr="00F15578">
              <w:rPr>
                <w:rFonts w:ascii="Verdana" w:hAnsi="Verdana"/>
                <w:sz w:val="16"/>
                <w:szCs w:val="16"/>
              </w:rPr>
              <w:t xml:space="preserve"> of governance</w:t>
            </w:r>
          </w:p>
          <w:p w14:paraId="05FA7921" w14:textId="77777777" w:rsidR="00B02749" w:rsidRPr="00F15578" w:rsidRDefault="00B02749" w:rsidP="00B02749">
            <w:pPr>
              <w:rPr>
                <w:rFonts w:ascii="Verdana" w:hAnsi="Verdana"/>
                <w:sz w:val="16"/>
                <w:szCs w:val="16"/>
              </w:rPr>
            </w:pPr>
          </w:p>
        </w:tc>
        <w:tc>
          <w:tcPr>
            <w:tcW w:w="4797" w:type="dxa"/>
            <w:shd w:val="clear" w:color="auto" w:fill="FFFFFF" w:themeFill="background1"/>
          </w:tcPr>
          <w:p w14:paraId="75058841" w14:textId="77777777" w:rsidR="00B02749" w:rsidRPr="00E81168" w:rsidRDefault="00B02749" w:rsidP="00B02749">
            <w:pPr>
              <w:pStyle w:val="Default"/>
              <w:spacing w:line="276" w:lineRule="auto"/>
              <w:rPr>
                <w:rFonts w:ascii="Verdana" w:hAnsi="Verdana"/>
                <w:color w:val="auto"/>
                <w:sz w:val="16"/>
                <w:szCs w:val="16"/>
              </w:rPr>
            </w:pPr>
            <w:r w:rsidRPr="00E81168">
              <w:rPr>
                <w:rFonts w:ascii="Verdana" w:hAnsi="Verdana"/>
                <w:color w:val="auto"/>
                <w:sz w:val="16"/>
                <w:szCs w:val="16"/>
              </w:rPr>
              <w:t xml:space="preserve">12) Registered providers should demonstrate their actions are consistent with both the principles and relevant provisions of their code of governance and overall contribute to sound governance. </w:t>
            </w:r>
          </w:p>
          <w:p w14:paraId="70491853" w14:textId="77777777" w:rsidR="00B02749" w:rsidRPr="00E81168" w:rsidRDefault="00B02749" w:rsidP="00B02749">
            <w:pPr>
              <w:pStyle w:val="Default"/>
              <w:spacing w:line="276" w:lineRule="auto"/>
              <w:rPr>
                <w:rFonts w:ascii="Verdana" w:hAnsi="Verdana"/>
                <w:color w:val="auto"/>
                <w:sz w:val="16"/>
                <w:szCs w:val="16"/>
              </w:rPr>
            </w:pPr>
          </w:p>
          <w:p w14:paraId="3F372BF4" w14:textId="123A993C" w:rsidR="00B02749" w:rsidRPr="00F15578" w:rsidRDefault="00B02749" w:rsidP="00B02749">
            <w:pPr>
              <w:rPr>
                <w:rFonts w:ascii="Verdana" w:hAnsi="Verdana"/>
                <w:sz w:val="16"/>
                <w:szCs w:val="16"/>
              </w:rPr>
            </w:pPr>
          </w:p>
        </w:tc>
        <w:tc>
          <w:tcPr>
            <w:tcW w:w="5782" w:type="dxa"/>
            <w:shd w:val="clear" w:color="auto" w:fill="FFFFFF" w:themeFill="background1"/>
          </w:tcPr>
          <w:p w14:paraId="24F5C604" w14:textId="77777777" w:rsidR="00B02749" w:rsidRPr="00B02749" w:rsidRDefault="00B02749" w:rsidP="00B02749">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03BA55E8" w14:textId="77777777" w:rsidR="00B02749" w:rsidRPr="00B02749" w:rsidRDefault="00B02749" w:rsidP="00B02749">
            <w:pPr>
              <w:rPr>
                <w:rFonts w:ascii="Verdana" w:hAnsi="Verdana"/>
                <w:sz w:val="16"/>
                <w:szCs w:val="16"/>
              </w:rPr>
            </w:pPr>
          </w:p>
          <w:p w14:paraId="1E7E5F94" w14:textId="77777777" w:rsidR="00B02749" w:rsidRPr="00B02749" w:rsidRDefault="00B02749" w:rsidP="00B02749">
            <w:pPr>
              <w:rPr>
                <w:rFonts w:ascii="Verdana" w:hAnsi="Verdana"/>
                <w:sz w:val="16"/>
                <w:szCs w:val="16"/>
              </w:rPr>
            </w:pPr>
          </w:p>
          <w:p w14:paraId="71257061" w14:textId="77777777" w:rsidR="00B02749" w:rsidRPr="00B02749" w:rsidRDefault="00B02749" w:rsidP="00B02749">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44551B3F" w14:textId="77777777" w:rsidR="00B02749" w:rsidRPr="00B02749" w:rsidRDefault="00B02749" w:rsidP="00B02749">
            <w:pPr>
              <w:pStyle w:val="ListParagraph"/>
              <w:numPr>
                <w:ilvl w:val="0"/>
                <w:numId w:val="75"/>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100309D8" w14:textId="77777777" w:rsidR="00B02749" w:rsidRPr="00B02749" w:rsidRDefault="00B02749" w:rsidP="00B02749">
            <w:pPr>
              <w:pStyle w:val="ListParagraph"/>
              <w:numPr>
                <w:ilvl w:val="0"/>
                <w:numId w:val="75"/>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5F9D61A8" w14:textId="77777777" w:rsidR="00B02749" w:rsidRPr="00B02749" w:rsidRDefault="00B02749" w:rsidP="00B02749">
            <w:pPr>
              <w:pStyle w:val="ListParagraph"/>
              <w:numPr>
                <w:ilvl w:val="0"/>
                <w:numId w:val="75"/>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33B86118" w14:textId="77777777" w:rsidR="00B02749" w:rsidRPr="00B02749" w:rsidRDefault="00B02749" w:rsidP="00B02749">
            <w:pPr>
              <w:spacing w:line="276" w:lineRule="auto"/>
              <w:rPr>
                <w:rFonts w:ascii="Verdana" w:hAnsi="Verdana"/>
                <w:bCs/>
                <w:sz w:val="16"/>
                <w:szCs w:val="16"/>
              </w:rPr>
            </w:pPr>
          </w:p>
          <w:p w14:paraId="4371A13F" w14:textId="77777777" w:rsidR="00B02749" w:rsidRPr="00B02749" w:rsidRDefault="00B02749" w:rsidP="00B02749">
            <w:pPr>
              <w:spacing w:line="276" w:lineRule="auto"/>
              <w:rPr>
                <w:rFonts w:ascii="Verdana" w:hAnsi="Verdana"/>
                <w:b/>
                <w:sz w:val="16"/>
                <w:szCs w:val="16"/>
              </w:rPr>
            </w:pPr>
          </w:p>
          <w:p w14:paraId="22F1D04E" w14:textId="3D940CC7" w:rsidR="00B02749" w:rsidRPr="00ED6FF3" w:rsidRDefault="00B02749" w:rsidP="00B02749">
            <w:pPr>
              <w:rPr>
                <w:rFonts w:ascii="Verdana" w:hAnsi="Verdana"/>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tc>
      </w:tr>
      <w:tr w:rsidR="00B02749" w:rsidRPr="00F15578" w14:paraId="03F56461" w14:textId="77777777" w:rsidTr="00B02749">
        <w:trPr>
          <w:trHeight w:val="439"/>
          <w:tblCellSpacing w:w="11" w:type="dxa"/>
        </w:trPr>
        <w:tc>
          <w:tcPr>
            <w:tcW w:w="758" w:type="dxa"/>
            <w:shd w:val="clear" w:color="auto" w:fill="F2F2F2" w:themeFill="background1" w:themeFillShade="F2"/>
          </w:tcPr>
          <w:p w14:paraId="38658164" w14:textId="77777777" w:rsidR="00B02749" w:rsidRPr="00F15578" w:rsidRDefault="00B02749" w:rsidP="00B02749">
            <w:pPr>
              <w:rPr>
                <w:rFonts w:ascii="Verdana" w:hAnsi="Verdana"/>
                <w:sz w:val="16"/>
                <w:szCs w:val="16"/>
              </w:rPr>
            </w:pPr>
            <w:r w:rsidRPr="00F15578">
              <w:rPr>
                <w:rFonts w:ascii="Verdana" w:hAnsi="Verdana"/>
                <w:sz w:val="16"/>
                <w:szCs w:val="16"/>
              </w:rPr>
              <w:lastRenderedPageBreak/>
              <w:t>2.1.2</w:t>
            </w:r>
          </w:p>
        </w:tc>
        <w:tc>
          <w:tcPr>
            <w:tcW w:w="4144" w:type="dxa"/>
            <w:shd w:val="clear" w:color="auto" w:fill="F2F2F2" w:themeFill="background1" w:themeFillShade="F2"/>
          </w:tcPr>
          <w:p w14:paraId="2921A4C8" w14:textId="77777777" w:rsidR="00B02749" w:rsidRDefault="00B02749" w:rsidP="00B02749">
            <w:pPr>
              <w:spacing w:line="276" w:lineRule="auto"/>
              <w:rPr>
                <w:rFonts w:ascii="Verdana" w:hAnsi="Verdana"/>
                <w:sz w:val="16"/>
                <w:szCs w:val="16"/>
              </w:rPr>
            </w:pPr>
            <w:r w:rsidRPr="00F15578">
              <w:rPr>
                <w:rFonts w:ascii="Verdana" w:hAnsi="Verdana"/>
                <w:sz w:val="16"/>
                <w:szCs w:val="16"/>
              </w:rPr>
              <w:t xml:space="preserve">Governance arrangements should establish and maintain clear roles, responsibilities and accountabilities for the board, chair and chief executive and ensure appropriate </w:t>
            </w:r>
            <w:r w:rsidRPr="00F15578">
              <w:rPr>
                <w:rFonts w:ascii="Verdana" w:hAnsi="Verdana"/>
                <w:b/>
                <w:sz w:val="16"/>
                <w:szCs w:val="16"/>
              </w:rPr>
              <w:t>probity</w:t>
            </w:r>
            <w:r w:rsidRPr="00F15578">
              <w:rPr>
                <w:rFonts w:ascii="Verdana" w:hAnsi="Verdana"/>
                <w:sz w:val="16"/>
                <w:szCs w:val="16"/>
              </w:rPr>
              <w:t xml:space="preserve"> </w:t>
            </w:r>
            <w:r w:rsidRPr="00F15578">
              <w:rPr>
                <w:rFonts w:ascii="Verdana" w:hAnsi="Verdana"/>
                <w:b/>
                <w:sz w:val="16"/>
                <w:szCs w:val="16"/>
              </w:rPr>
              <w:t>arrangements</w:t>
            </w:r>
            <w:r w:rsidRPr="00F15578">
              <w:rPr>
                <w:rFonts w:ascii="Verdana" w:hAnsi="Verdana"/>
                <w:sz w:val="16"/>
                <w:szCs w:val="16"/>
              </w:rPr>
              <w:t xml:space="preserve"> are in place. </w:t>
            </w:r>
          </w:p>
          <w:p w14:paraId="2F042C83" w14:textId="77777777" w:rsidR="00B02749" w:rsidRDefault="00B02749" w:rsidP="00B02749">
            <w:pPr>
              <w:spacing w:line="276" w:lineRule="auto"/>
              <w:rPr>
                <w:rFonts w:ascii="Verdana" w:hAnsi="Verdana"/>
                <w:sz w:val="16"/>
                <w:szCs w:val="16"/>
              </w:rPr>
            </w:pPr>
          </w:p>
          <w:p w14:paraId="4E2C5AF5" w14:textId="77777777" w:rsidR="00B02749" w:rsidRPr="00F15578" w:rsidRDefault="00B02749" w:rsidP="00B02749">
            <w:pPr>
              <w:spacing w:line="276" w:lineRule="auto"/>
              <w:rPr>
                <w:rFonts w:ascii="Verdana" w:hAnsi="Verdana"/>
                <w:sz w:val="16"/>
                <w:szCs w:val="16"/>
              </w:rPr>
            </w:pPr>
            <w:r w:rsidRPr="00F15578">
              <w:rPr>
                <w:rFonts w:ascii="Verdana" w:hAnsi="Verdana"/>
                <w:sz w:val="16"/>
                <w:szCs w:val="16"/>
              </w:rPr>
              <w:t>Areas of non-compliance with their chosen code of governance should be explained.</w:t>
            </w:r>
          </w:p>
          <w:p w14:paraId="16AA39C8" w14:textId="77777777" w:rsidR="00B02749" w:rsidRPr="00F15578" w:rsidRDefault="00B02749" w:rsidP="00B02749">
            <w:pPr>
              <w:rPr>
                <w:rFonts w:ascii="Verdana" w:hAnsi="Verdana"/>
                <w:sz w:val="16"/>
                <w:szCs w:val="16"/>
              </w:rPr>
            </w:pPr>
          </w:p>
        </w:tc>
        <w:tc>
          <w:tcPr>
            <w:tcW w:w="4797" w:type="dxa"/>
          </w:tcPr>
          <w:p w14:paraId="1B7759CB" w14:textId="3155A47D" w:rsidR="00B02749" w:rsidRPr="00F15578" w:rsidRDefault="00B02749" w:rsidP="00B02749">
            <w:pPr>
              <w:rPr>
                <w:rFonts w:ascii="Verdana" w:hAnsi="Verdana"/>
                <w:sz w:val="16"/>
                <w:szCs w:val="16"/>
              </w:rPr>
            </w:pPr>
            <w:r>
              <w:rPr>
                <w:rFonts w:ascii="Verdana" w:hAnsi="Verdana"/>
                <w:sz w:val="16"/>
                <w:szCs w:val="16"/>
              </w:rPr>
              <w:t>n/a</w:t>
            </w:r>
          </w:p>
        </w:tc>
        <w:tc>
          <w:tcPr>
            <w:tcW w:w="5782" w:type="dxa"/>
          </w:tcPr>
          <w:p w14:paraId="782A25B4" w14:textId="76097D9F" w:rsidR="00B02749" w:rsidRPr="001A5389" w:rsidRDefault="00172454" w:rsidP="00B02749">
            <w:r>
              <w:t xml:space="preserve">As above </w:t>
            </w:r>
          </w:p>
        </w:tc>
      </w:tr>
      <w:tr w:rsidR="00B02749" w:rsidRPr="00F15578" w14:paraId="1798EFB0" w14:textId="77777777" w:rsidTr="00B02749">
        <w:trPr>
          <w:trHeight w:val="952"/>
          <w:tblCellSpacing w:w="11" w:type="dxa"/>
        </w:trPr>
        <w:tc>
          <w:tcPr>
            <w:tcW w:w="758" w:type="dxa"/>
            <w:shd w:val="clear" w:color="auto" w:fill="F2F2F2" w:themeFill="background1" w:themeFillShade="F2"/>
          </w:tcPr>
          <w:p w14:paraId="7818859F" w14:textId="77777777" w:rsidR="00B02749" w:rsidRPr="00F15578" w:rsidRDefault="00B02749" w:rsidP="00B02749">
            <w:pPr>
              <w:rPr>
                <w:rFonts w:ascii="Verdana" w:hAnsi="Verdana"/>
                <w:sz w:val="16"/>
                <w:szCs w:val="16"/>
              </w:rPr>
            </w:pPr>
            <w:r w:rsidRPr="00F15578">
              <w:rPr>
                <w:rFonts w:ascii="Verdana" w:hAnsi="Verdana"/>
                <w:sz w:val="16"/>
                <w:szCs w:val="16"/>
              </w:rPr>
              <w:t>2.1.3</w:t>
            </w:r>
          </w:p>
        </w:tc>
        <w:tc>
          <w:tcPr>
            <w:tcW w:w="4144" w:type="dxa"/>
            <w:shd w:val="clear" w:color="auto" w:fill="F2F2F2" w:themeFill="background1" w:themeFillShade="F2"/>
          </w:tcPr>
          <w:p w14:paraId="5FCB214A" w14:textId="77777777" w:rsidR="00B02749" w:rsidRPr="00F15578" w:rsidRDefault="00B02749" w:rsidP="00B02749">
            <w:pPr>
              <w:spacing w:line="276" w:lineRule="auto"/>
              <w:rPr>
                <w:rFonts w:ascii="Verdana" w:hAnsi="Verdana"/>
                <w:sz w:val="16"/>
                <w:szCs w:val="16"/>
              </w:rPr>
            </w:pPr>
            <w:r w:rsidRPr="00F15578">
              <w:rPr>
                <w:rFonts w:ascii="Verdana" w:hAnsi="Verdana"/>
                <w:sz w:val="16"/>
                <w:szCs w:val="16"/>
              </w:rPr>
              <w:t xml:space="preserve">Registered providers should assess the effectiveness of their governance arrangements </w:t>
            </w:r>
            <w:r w:rsidRPr="00F15578">
              <w:rPr>
                <w:rFonts w:ascii="Verdana" w:hAnsi="Verdana"/>
                <w:b/>
                <w:sz w:val="16"/>
                <w:szCs w:val="16"/>
              </w:rPr>
              <w:t>at least once</w:t>
            </w:r>
            <w:r w:rsidRPr="00F15578">
              <w:rPr>
                <w:rFonts w:ascii="Verdana" w:hAnsi="Verdana"/>
                <w:sz w:val="16"/>
                <w:szCs w:val="16"/>
              </w:rPr>
              <w:t xml:space="preserve"> a year.</w:t>
            </w:r>
          </w:p>
          <w:p w14:paraId="0EC90FE4" w14:textId="77777777" w:rsidR="00B02749" w:rsidRPr="00F15578" w:rsidRDefault="00B02749" w:rsidP="00B02749">
            <w:pPr>
              <w:spacing w:line="276" w:lineRule="auto"/>
              <w:rPr>
                <w:rFonts w:ascii="Verdana" w:hAnsi="Verdana"/>
                <w:sz w:val="16"/>
                <w:szCs w:val="16"/>
              </w:rPr>
            </w:pPr>
          </w:p>
        </w:tc>
        <w:tc>
          <w:tcPr>
            <w:tcW w:w="4797" w:type="dxa"/>
          </w:tcPr>
          <w:p w14:paraId="527368E8" w14:textId="32B41FFA" w:rsidR="00B02749" w:rsidRPr="00F15578" w:rsidRDefault="00B02749" w:rsidP="00B02749">
            <w:pPr>
              <w:rPr>
                <w:rFonts w:ascii="Verdana" w:hAnsi="Verdana"/>
                <w:sz w:val="16"/>
                <w:szCs w:val="16"/>
              </w:rPr>
            </w:pPr>
            <w:r>
              <w:rPr>
                <w:rFonts w:ascii="Verdana" w:hAnsi="Verdana"/>
                <w:sz w:val="16"/>
                <w:szCs w:val="16"/>
              </w:rPr>
              <w:t>n/a</w:t>
            </w:r>
          </w:p>
        </w:tc>
        <w:tc>
          <w:tcPr>
            <w:tcW w:w="5782" w:type="dxa"/>
          </w:tcPr>
          <w:p w14:paraId="3414A8B5" w14:textId="725B9DD2" w:rsidR="00B02749" w:rsidRPr="001E4EE2" w:rsidRDefault="00172454" w:rsidP="00B02749">
            <w:pPr>
              <w:rPr>
                <w:rFonts w:ascii="Verdana" w:hAnsi="Verdana"/>
                <w:sz w:val="16"/>
                <w:szCs w:val="16"/>
              </w:rPr>
            </w:pPr>
            <w:r>
              <w:rPr>
                <w:rFonts w:ascii="Verdana" w:hAnsi="Verdana"/>
                <w:sz w:val="16"/>
                <w:szCs w:val="16"/>
              </w:rPr>
              <w:t>As above</w:t>
            </w:r>
          </w:p>
        </w:tc>
      </w:tr>
      <w:tr w:rsidR="00B02749" w:rsidRPr="00F15578" w14:paraId="1E788CF6" w14:textId="77777777" w:rsidTr="00B02749">
        <w:trPr>
          <w:trHeight w:val="581"/>
          <w:tblCellSpacing w:w="11" w:type="dxa"/>
        </w:trPr>
        <w:tc>
          <w:tcPr>
            <w:tcW w:w="758" w:type="dxa"/>
            <w:shd w:val="clear" w:color="auto" w:fill="F2F2F2" w:themeFill="background1" w:themeFillShade="F2"/>
          </w:tcPr>
          <w:p w14:paraId="612FF4CC" w14:textId="77777777" w:rsidR="00B02749" w:rsidRPr="00F15578" w:rsidRDefault="00B02749" w:rsidP="00B02749">
            <w:pPr>
              <w:rPr>
                <w:rFonts w:ascii="Verdana" w:hAnsi="Verdana"/>
                <w:sz w:val="16"/>
                <w:szCs w:val="16"/>
              </w:rPr>
            </w:pPr>
            <w:r w:rsidRPr="00F15578">
              <w:rPr>
                <w:rFonts w:ascii="Verdana" w:hAnsi="Verdana"/>
                <w:sz w:val="16"/>
                <w:szCs w:val="16"/>
              </w:rPr>
              <w:t>2.2</w:t>
            </w:r>
          </w:p>
        </w:tc>
        <w:tc>
          <w:tcPr>
            <w:tcW w:w="4144" w:type="dxa"/>
            <w:shd w:val="clear" w:color="auto" w:fill="F2F2F2" w:themeFill="background1" w:themeFillShade="F2"/>
          </w:tcPr>
          <w:p w14:paraId="07CF295A" w14:textId="77777777" w:rsidR="00B02749" w:rsidRPr="00F15578" w:rsidRDefault="00B02749" w:rsidP="00B02749">
            <w:pPr>
              <w:spacing w:line="276" w:lineRule="auto"/>
              <w:rPr>
                <w:rFonts w:ascii="Verdana" w:hAnsi="Verdana"/>
                <w:sz w:val="16"/>
                <w:szCs w:val="16"/>
              </w:rPr>
            </w:pPr>
            <w:r w:rsidRPr="00F15578">
              <w:rPr>
                <w:rFonts w:ascii="Verdana" w:hAnsi="Verdana"/>
                <w:sz w:val="16"/>
                <w:szCs w:val="16"/>
              </w:rPr>
              <w:t xml:space="preserve">Registered providers shall ensure that they manage their affairs with an appropriate </w:t>
            </w:r>
            <w:r w:rsidRPr="00F15578">
              <w:rPr>
                <w:rFonts w:ascii="Verdana" w:hAnsi="Verdana"/>
                <w:b/>
                <w:sz w:val="16"/>
                <w:szCs w:val="16"/>
              </w:rPr>
              <w:t xml:space="preserve">degree of </w:t>
            </w:r>
            <w:r>
              <w:rPr>
                <w:rFonts w:ascii="Verdana" w:hAnsi="Verdana"/>
                <w:b/>
                <w:sz w:val="16"/>
                <w:szCs w:val="16"/>
              </w:rPr>
              <w:t xml:space="preserve">skill, independence, diligence, </w:t>
            </w:r>
            <w:r w:rsidRPr="00F15578">
              <w:rPr>
                <w:rFonts w:ascii="Verdana" w:hAnsi="Verdana"/>
                <w:b/>
                <w:sz w:val="16"/>
                <w:szCs w:val="16"/>
              </w:rPr>
              <w:t>effectiveness,</w:t>
            </w:r>
            <w:r w:rsidRPr="00F15578">
              <w:rPr>
                <w:rFonts w:ascii="Verdana" w:hAnsi="Verdana"/>
                <w:sz w:val="16"/>
                <w:szCs w:val="16"/>
              </w:rPr>
              <w:t xml:space="preserve"> </w:t>
            </w:r>
            <w:proofErr w:type="gramStart"/>
            <w:r w:rsidRPr="00F15578">
              <w:rPr>
                <w:rFonts w:ascii="Verdana" w:hAnsi="Verdana"/>
                <w:sz w:val="16"/>
                <w:szCs w:val="16"/>
              </w:rPr>
              <w:t>prudence</w:t>
            </w:r>
            <w:proofErr w:type="gramEnd"/>
            <w:r w:rsidRPr="00F15578">
              <w:rPr>
                <w:rFonts w:ascii="Verdana" w:hAnsi="Verdana"/>
                <w:sz w:val="16"/>
                <w:szCs w:val="16"/>
              </w:rPr>
              <w:t xml:space="preserve"> and foresight</w:t>
            </w:r>
          </w:p>
        </w:tc>
        <w:tc>
          <w:tcPr>
            <w:tcW w:w="4797" w:type="dxa"/>
            <w:shd w:val="clear" w:color="auto" w:fill="auto"/>
          </w:tcPr>
          <w:p w14:paraId="3172231C" w14:textId="77777777" w:rsidR="00B02749" w:rsidRPr="00E81168" w:rsidRDefault="00B02749" w:rsidP="00B02749">
            <w:pPr>
              <w:pStyle w:val="Default"/>
              <w:spacing w:line="276" w:lineRule="auto"/>
              <w:rPr>
                <w:rFonts w:ascii="Verdana" w:hAnsi="Verdana"/>
                <w:color w:val="auto"/>
                <w:sz w:val="16"/>
                <w:szCs w:val="16"/>
              </w:rPr>
            </w:pPr>
            <w:r w:rsidRPr="00E81168">
              <w:rPr>
                <w:rFonts w:ascii="Verdana" w:hAnsi="Verdana"/>
                <w:color w:val="auto"/>
                <w:sz w:val="16"/>
                <w:szCs w:val="16"/>
              </w:rPr>
              <w:t xml:space="preserve">13) The regulator anticipates that an assessment of the effectiveness of governance arrangements may vary in terms of depth and scope in line with the internal and external environment within which the registered provider operates. Some parts of a governance review may be carried out to a different timescale than an annual review where this helps ensure the quality and effectiveness of the review. Where this is the case, the annual assessment of the effectiveness of governance arrangements should give assurance on the timescale and progress of work on these areas. </w:t>
            </w:r>
          </w:p>
          <w:p w14:paraId="02B9B29B" w14:textId="77777777" w:rsidR="00B02749" w:rsidRPr="00E81168" w:rsidRDefault="00B02749" w:rsidP="00B02749">
            <w:pPr>
              <w:pStyle w:val="Default"/>
              <w:spacing w:line="276" w:lineRule="auto"/>
              <w:rPr>
                <w:rFonts w:ascii="Verdana" w:hAnsi="Verdana"/>
                <w:color w:val="auto"/>
                <w:sz w:val="16"/>
                <w:szCs w:val="16"/>
              </w:rPr>
            </w:pPr>
          </w:p>
          <w:p w14:paraId="29059816" w14:textId="77777777" w:rsidR="00B02749" w:rsidRPr="00E81168" w:rsidRDefault="00B02749" w:rsidP="00B02749">
            <w:pPr>
              <w:pStyle w:val="Default"/>
              <w:spacing w:line="276" w:lineRule="auto"/>
              <w:rPr>
                <w:rFonts w:ascii="Verdana" w:hAnsi="Verdana"/>
                <w:color w:val="auto"/>
                <w:sz w:val="16"/>
                <w:szCs w:val="16"/>
              </w:rPr>
            </w:pPr>
            <w:r w:rsidRPr="00E81168">
              <w:rPr>
                <w:rFonts w:ascii="Verdana" w:hAnsi="Verdana"/>
                <w:color w:val="auto"/>
                <w:sz w:val="16"/>
                <w:szCs w:val="16"/>
              </w:rPr>
              <w:t xml:space="preserve">14) Paragraph 2.2 of the Standard complements the board’s responsibilities to act lawfully and responsibly. Compliance will include both behavioural aspects, such as ensuring that the board and executive foster a culture of constructive challenge and debate, and good governance practices. </w:t>
            </w:r>
          </w:p>
          <w:p w14:paraId="56A84B2D" w14:textId="77777777" w:rsidR="00B02749" w:rsidRPr="00E81168" w:rsidRDefault="00B02749" w:rsidP="00B02749">
            <w:pPr>
              <w:spacing w:line="276" w:lineRule="auto"/>
              <w:rPr>
                <w:rFonts w:ascii="Verdana" w:hAnsi="Verdana"/>
                <w:sz w:val="16"/>
                <w:szCs w:val="16"/>
              </w:rPr>
            </w:pPr>
          </w:p>
          <w:p w14:paraId="1158DD42" w14:textId="77777777" w:rsidR="00B02749" w:rsidRPr="00E81168" w:rsidRDefault="00B02749" w:rsidP="00B02749">
            <w:pPr>
              <w:pStyle w:val="Default"/>
              <w:spacing w:line="276" w:lineRule="auto"/>
              <w:rPr>
                <w:rFonts w:ascii="Verdana" w:hAnsi="Verdana"/>
                <w:color w:val="auto"/>
                <w:sz w:val="16"/>
                <w:szCs w:val="16"/>
              </w:rPr>
            </w:pPr>
            <w:r w:rsidRPr="00E81168">
              <w:rPr>
                <w:rFonts w:ascii="Verdana" w:hAnsi="Verdana"/>
                <w:color w:val="auto"/>
                <w:sz w:val="16"/>
                <w:szCs w:val="16"/>
              </w:rPr>
              <w:t xml:space="preserve">15) To ensure that registered providers have the requisite skills and capability to perform their functions, the regulator would expect them to: </w:t>
            </w:r>
          </w:p>
          <w:p w14:paraId="192CF3A3" w14:textId="77777777" w:rsidR="00B02749" w:rsidRPr="00E81168" w:rsidRDefault="00B02749" w:rsidP="00B02749">
            <w:pPr>
              <w:pStyle w:val="Default"/>
              <w:numPr>
                <w:ilvl w:val="0"/>
                <w:numId w:val="8"/>
              </w:numPr>
              <w:spacing w:after="120" w:line="276" w:lineRule="auto"/>
              <w:rPr>
                <w:rFonts w:ascii="Verdana" w:hAnsi="Verdana"/>
                <w:color w:val="auto"/>
                <w:sz w:val="16"/>
                <w:szCs w:val="16"/>
              </w:rPr>
            </w:pPr>
            <w:r w:rsidRPr="00E81168">
              <w:rPr>
                <w:rFonts w:ascii="Verdana" w:hAnsi="Verdana"/>
                <w:color w:val="auto"/>
                <w:sz w:val="16"/>
                <w:szCs w:val="16"/>
              </w:rPr>
              <w:t xml:space="preserve">have an appropriate </w:t>
            </w:r>
            <w:r w:rsidRPr="00E81168">
              <w:rPr>
                <w:rFonts w:ascii="Verdana" w:hAnsi="Verdana"/>
                <w:b/>
                <w:color w:val="auto"/>
                <w:sz w:val="16"/>
                <w:szCs w:val="16"/>
              </w:rPr>
              <w:t>skills strategy t</w:t>
            </w:r>
            <w:r w:rsidRPr="00E81168">
              <w:rPr>
                <w:rFonts w:ascii="Verdana" w:hAnsi="Verdana"/>
                <w:color w:val="auto"/>
                <w:sz w:val="16"/>
                <w:szCs w:val="16"/>
              </w:rPr>
              <w:t>o address the needs of the business</w:t>
            </w:r>
          </w:p>
          <w:p w14:paraId="6C8B72B4" w14:textId="77777777" w:rsidR="00B02749" w:rsidRPr="00E81168" w:rsidRDefault="00B02749" w:rsidP="00B02749">
            <w:pPr>
              <w:pStyle w:val="Default"/>
              <w:numPr>
                <w:ilvl w:val="0"/>
                <w:numId w:val="8"/>
              </w:numPr>
              <w:spacing w:after="120" w:line="276" w:lineRule="auto"/>
              <w:rPr>
                <w:rFonts w:ascii="Verdana" w:hAnsi="Verdana"/>
                <w:color w:val="auto"/>
                <w:sz w:val="16"/>
                <w:szCs w:val="16"/>
              </w:rPr>
            </w:pPr>
            <w:r w:rsidRPr="00E81168">
              <w:rPr>
                <w:rFonts w:ascii="Verdana" w:hAnsi="Verdana"/>
                <w:color w:val="auto"/>
                <w:sz w:val="16"/>
                <w:szCs w:val="16"/>
              </w:rPr>
              <w:t xml:space="preserve">regularly assess whether boards and management have the right competencies, experience, and </w:t>
            </w:r>
            <w:r w:rsidRPr="00E81168">
              <w:rPr>
                <w:rFonts w:ascii="Verdana" w:hAnsi="Verdana"/>
                <w:color w:val="auto"/>
                <w:sz w:val="16"/>
                <w:szCs w:val="16"/>
              </w:rPr>
              <w:lastRenderedPageBreak/>
              <w:t xml:space="preserve">technical knowledge appropriate to the size, </w:t>
            </w:r>
            <w:proofErr w:type="gramStart"/>
            <w:r w:rsidRPr="00E81168">
              <w:rPr>
                <w:rFonts w:ascii="Verdana" w:hAnsi="Verdana"/>
                <w:color w:val="auto"/>
                <w:sz w:val="16"/>
                <w:szCs w:val="16"/>
              </w:rPr>
              <w:t>scale</w:t>
            </w:r>
            <w:proofErr w:type="gramEnd"/>
            <w:r w:rsidRPr="00E81168">
              <w:rPr>
                <w:rFonts w:ascii="Verdana" w:hAnsi="Verdana"/>
                <w:color w:val="auto"/>
                <w:sz w:val="16"/>
                <w:szCs w:val="16"/>
              </w:rPr>
              <w:t xml:space="preserve"> and risk profile of the organisations </w:t>
            </w:r>
          </w:p>
          <w:p w14:paraId="3CBC4FF6" w14:textId="77777777" w:rsidR="00B02749" w:rsidRPr="00E81168" w:rsidRDefault="00B02749" w:rsidP="00B02749">
            <w:pPr>
              <w:pStyle w:val="Default"/>
              <w:numPr>
                <w:ilvl w:val="0"/>
                <w:numId w:val="8"/>
              </w:numPr>
              <w:spacing w:line="276" w:lineRule="auto"/>
              <w:rPr>
                <w:rFonts w:ascii="Verdana" w:hAnsi="Verdana"/>
                <w:color w:val="auto"/>
                <w:sz w:val="16"/>
                <w:szCs w:val="16"/>
              </w:rPr>
            </w:pPr>
            <w:r w:rsidRPr="00E81168">
              <w:rPr>
                <w:rFonts w:ascii="Verdana" w:hAnsi="Verdana"/>
                <w:color w:val="auto"/>
                <w:sz w:val="16"/>
                <w:szCs w:val="16"/>
              </w:rPr>
              <w:t>ensure that all material decisions are made with appropriate internal/external expertise or advice and should satisfy themselves of the impartiality of any support or advice</w:t>
            </w:r>
          </w:p>
          <w:p w14:paraId="1F5471DA" w14:textId="77777777" w:rsidR="00B02749" w:rsidRPr="00E81168" w:rsidRDefault="00B02749" w:rsidP="00B02749">
            <w:pPr>
              <w:pStyle w:val="Default"/>
              <w:numPr>
                <w:ilvl w:val="0"/>
                <w:numId w:val="8"/>
              </w:numPr>
              <w:spacing w:line="276" w:lineRule="auto"/>
              <w:rPr>
                <w:rFonts w:ascii="Verdana" w:hAnsi="Verdana"/>
                <w:color w:val="auto"/>
                <w:sz w:val="16"/>
                <w:szCs w:val="16"/>
              </w:rPr>
            </w:pPr>
            <w:r w:rsidRPr="00E81168">
              <w:rPr>
                <w:rFonts w:ascii="Verdana" w:hAnsi="Verdana"/>
                <w:color w:val="auto"/>
                <w:sz w:val="16"/>
                <w:szCs w:val="16"/>
              </w:rPr>
              <w:t>have plans to address any skills gaps identified (including through bringing in external skills), and such plans should be monitored to ensure that they are followed through</w:t>
            </w:r>
          </w:p>
          <w:p w14:paraId="05A077BD" w14:textId="77777777" w:rsidR="00B02749" w:rsidRPr="00E81168" w:rsidRDefault="00B02749" w:rsidP="00B02749">
            <w:pPr>
              <w:spacing w:line="276" w:lineRule="auto"/>
              <w:rPr>
                <w:rFonts w:ascii="Verdana" w:hAnsi="Verdana"/>
                <w:sz w:val="16"/>
                <w:szCs w:val="16"/>
              </w:rPr>
            </w:pPr>
          </w:p>
          <w:p w14:paraId="781E4255" w14:textId="77777777" w:rsidR="00B02749" w:rsidRPr="00E81168" w:rsidRDefault="00B02749" w:rsidP="00B02749">
            <w:pPr>
              <w:pStyle w:val="Default"/>
              <w:spacing w:line="276" w:lineRule="auto"/>
              <w:rPr>
                <w:rFonts w:ascii="Verdana" w:hAnsi="Verdana"/>
                <w:color w:val="auto"/>
                <w:sz w:val="16"/>
                <w:szCs w:val="16"/>
              </w:rPr>
            </w:pPr>
            <w:r w:rsidRPr="00E81168">
              <w:rPr>
                <w:rFonts w:ascii="Verdana" w:hAnsi="Verdana"/>
                <w:color w:val="auto"/>
                <w:sz w:val="16"/>
                <w:szCs w:val="16"/>
              </w:rPr>
              <w:t xml:space="preserve">16)  In order to determine the appropriate level of independence, registered providers should have regard to their adopted code of governance, relevant legal requirements, </w:t>
            </w:r>
            <w:proofErr w:type="gramStart"/>
            <w:r w:rsidRPr="00E81168">
              <w:rPr>
                <w:rFonts w:ascii="Verdana" w:hAnsi="Verdana"/>
                <w:color w:val="auto"/>
                <w:sz w:val="16"/>
                <w:szCs w:val="16"/>
              </w:rPr>
              <w:t>e.g.</w:t>
            </w:r>
            <w:proofErr w:type="gramEnd"/>
            <w:r w:rsidRPr="00E81168">
              <w:rPr>
                <w:rFonts w:ascii="Verdana" w:hAnsi="Verdana"/>
                <w:color w:val="auto"/>
                <w:sz w:val="16"/>
                <w:szCs w:val="16"/>
              </w:rPr>
              <w:t xml:space="preserve"> charity law and to their business model. In some businesses, influence is inherent in the corporate structure of the registered provider (for example a </w:t>
            </w:r>
            <w:proofErr w:type="gramStart"/>
            <w:r w:rsidRPr="00E81168">
              <w:rPr>
                <w:rFonts w:ascii="Verdana" w:hAnsi="Verdana"/>
                <w:color w:val="auto"/>
                <w:sz w:val="16"/>
                <w:szCs w:val="16"/>
              </w:rPr>
              <w:t>profit making</w:t>
            </w:r>
            <w:proofErr w:type="gramEnd"/>
            <w:r w:rsidRPr="00E81168">
              <w:rPr>
                <w:rFonts w:ascii="Verdana" w:hAnsi="Verdana"/>
                <w:color w:val="auto"/>
                <w:sz w:val="16"/>
                <w:szCs w:val="16"/>
              </w:rPr>
              <w:t xml:space="preserve"> registered provider, which is a subsidiary of a group). In other cases, influence may not be inherent in the corporate structure but result from close associations the registered provider has with other organisations or individuals. </w:t>
            </w:r>
          </w:p>
          <w:p w14:paraId="3BE3AB51" w14:textId="77777777" w:rsidR="00B02749" w:rsidRPr="00E81168" w:rsidRDefault="00B02749" w:rsidP="00B02749">
            <w:pPr>
              <w:pStyle w:val="Default"/>
              <w:spacing w:line="276" w:lineRule="auto"/>
              <w:rPr>
                <w:rFonts w:ascii="Verdana" w:hAnsi="Verdana"/>
                <w:color w:val="auto"/>
                <w:sz w:val="16"/>
                <w:szCs w:val="16"/>
              </w:rPr>
            </w:pPr>
          </w:p>
          <w:p w14:paraId="283026C2" w14:textId="77777777" w:rsidR="00B02749" w:rsidRPr="00E81168" w:rsidRDefault="00B02749" w:rsidP="00B02749">
            <w:pPr>
              <w:pStyle w:val="Default"/>
              <w:spacing w:line="276" w:lineRule="auto"/>
              <w:rPr>
                <w:rFonts w:ascii="Verdana" w:hAnsi="Verdana"/>
                <w:color w:val="auto"/>
                <w:sz w:val="16"/>
                <w:szCs w:val="16"/>
              </w:rPr>
            </w:pPr>
            <w:r w:rsidRPr="00E81168">
              <w:rPr>
                <w:rFonts w:ascii="Verdana" w:hAnsi="Verdana"/>
                <w:color w:val="auto"/>
                <w:sz w:val="16"/>
                <w:szCs w:val="16"/>
              </w:rPr>
              <w:t xml:space="preserve">17) In managing their affairs with an appropriate degree of independence, board members should </w:t>
            </w:r>
            <w:proofErr w:type="gramStart"/>
            <w:r w:rsidRPr="00E81168">
              <w:rPr>
                <w:rFonts w:ascii="Verdana" w:hAnsi="Verdana"/>
                <w:color w:val="auto"/>
                <w:sz w:val="16"/>
                <w:szCs w:val="16"/>
              </w:rPr>
              <w:t>exercise independence of judgement and act at all times</w:t>
            </w:r>
            <w:proofErr w:type="gramEnd"/>
            <w:r w:rsidRPr="00E81168">
              <w:rPr>
                <w:rFonts w:ascii="Verdana" w:hAnsi="Verdana"/>
                <w:color w:val="auto"/>
                <w:sz w:val="16"/>
                <w:szCs w:val="16"/>
              </w:rPr>
              <w:t xml:space="preserve"> in the best interests of the registered provider. There should also be appropriate mechanisms in place to manage any conflicts of interest to demonstrate probity &amp; value for money.</w:t>
            </w:r>
          </w:p>
          <w:p w14:paraId="5A4B9C45" w14:textId="77777777" w:rsidR="00B02749" w:rsidRPr="00E81168" w:rsidRDefault="00B02749" w:rsidP="00B02749">
            <w:pPr>
              <w:pStyle w:val="Default"/>
              <w:spacing w:line="276" w:lineRule="auto"/>
              <w:rPr>
                <w:rFonts w:ascii="Verdana" w:hAnsi="Verdana"/>
                <w:color w:val="auto"/>
                <w:sz w:val="16"/>
                <w:szCs w:val="16"/>
              </w:rPr>
            </w:pPr>
            <w:r w:rsidRPr="00E81168">
              <w:rPr>
                <w:rFonts w:ascii="Verdana" w:hAnsi="Verdana"/>
                <w:color w:val="auto"/>
                <w:sz w:val="16"/>
                <w:szCs w:val="16"/>
              </w:rPr>
              <w:t xml:space="preserve"> </w:t>
            </w:r>
          </w:p>
          <w:p w14:paraId="21B6DAF6" w14:textId="77777777" w:rsidR="00B02749" w:rsidRPr="00F15578" w:rsidRDefault="00B02749" w:rsidP="00B02749">
            <w:pPr>
              <w:rPr>
                <w:rFonts w:ascii="Verdana" w:hAnsi="Verdana"/>
                <w:sz w:val="16"/>
                <w:szCs w:val="16"/>
              </w:rPr>
            </w:pPr>
            <w:r w:rsidRPr="00E81168">
              <w:rPr>
                <w:rFonts w:ascii="Verdana" w:hAnsi="Verdana"/>
                <w:sz w:val="16"/>
                <w:szCs w:val="16"/>
              </w:rPr>
              <w:t>18) Registered providers should not be subject to undue influence from third parties that could reasonably be expected to lead to non-compliance with regulatory standards</w:t>
            </w:r>
            <w:r w:rsidRPr="00E81168">
              <w:rPr>
                <w:rFonts w:ascii="Verdana" w:hAnsi="Verdana" w:cs="Calibri"/>
                <w:sz w:val="16"/>
                <w:szCs w:val="16"/>
              </w:rPr>
              <w:t>.</w:t>
            </w:r>
          </w:p>
        </w:tc>
        <w:tc>
          <w:tcPr>
            <w:tcW w:w="5782" w:type="dxa"/>
          </w:tcPr>
          <w:p w14:paraId="408DE435" w14:textId="6D28B2AB" w:rsidR="00B02749" w:rsidRPr="001E4EE2" w:rsidRDefault="00172454" w:rsidP="00B02749">
            <w:pPr>
              <w:rPr>
                <w:rFonts w:ascii="Verdana" w:hAnsi="Verdana"/>
                <w:sz w:val="16"/>
                <w:szCs w:val="16"/>
              </w:rPr>
            </w:pPr>
            <w:r>
              <w:rPr>
                <w:rFonts w:ascii="Verdana" w:hAnsi="Verdana"/>
                <w:sz w:val="16"/>
                <w:szCs w:val="16"/>
              </w:rPr>
              <w:lastRenderedPageBreak/>
              <w:t xml:space="preserve">As above </w:t>
            </w:r>
          </w:p>
        </w:tc>
      </w:tr>
      <w:tr w:rsidR="00B02749" w:rsidRPr="00F15578" w14:paraId="46966A18" w14:textId="77777777" w:rsidTr="00B02749">
        <w:trPr>
          <w:trHeight w:val="3699"/>
          <w:tblCellSpacing w:w="11" w:type="dxa"/>
        </w:trPr>
        <w:tc>
          <w:tcPr>
            <w:tcW w:w="758" w:type="dxa"/>
            <w:shd w:val="clear" w:color="auto" w:fill="F2F2F2" w:themeFill="background1" w:themeFillShade="F2"/>
          </w:tcPr>
          <w:p w14:paraId="11C48CB1" w14:textId="77777777" w:rsidR="00B02749" w:rsidRPr="0028663E" w:rsidRDefault="00B02749" w:rsidP="00B02749">
            <w:pPr>
              <w:rPr>
                <w:rFonts w:ascii="Verdana" w:hAnsi="Verdana"/>
                <w:sz w:val="16"/>
                <w:szCs w:val="16"/>
              </w:rPr>
            </w:pPr>
            <w:r w:rsidRPr="0028663E">
              <w:rPr>
                <w:rFonts w:ascii="Verdana" w:hAnsi="Verdana"/>
                <w:sz w:val="16"/>
                <w:szCs w:val="16"/>
              </w:rPr>
              <w:lastRenderedPageBreak/>
              <w:t>2.3</w:t>
            </w:r>
          </w:p>
          <w:p w14:paraId="3C56152D" w14:textId="77777777" w:rsidR="00B02749" w:rsidRPr="0028663E" w:rsidRDefault="00B02749" w:rsidP="00B02749">
            <w:pPr>
              <w:rPr>
                <w:rFonts w:ascii="Verdana" w:hAnsi="Verdana"/>
                <w:sz w:val="16"/>
                <w:szCs w:val="16"/>
              </w:rPr>
            </w:pPr>
          </w:p>
        </w:tc>
        <w:tc>
          <w:tcPr>
            <w:tcW w:w="4144" w:type="dxa"/>
            <w:shd w:val="clear" w:color="auto" w:fill="F2F2F2" w:themeFill="background1" w:themeFillShade="F2"/>
          </w:tcPr>
          <w:p w14:paraId="4D774600" w14:textId="77777777" w:rsidR="00B02749" w:rsidRPr="0028663E" w:rsidRDefault="00B02749" w:rsidP="00B02749">
            <w:pPr>
              <w:spacing w:line="276" w:lineRule="auto"/>
              <w:rPr>
                <w:rFonts w:ascii="Verdana" w:hAnsi="Verdana"/>
                <w:sz w:val="16"/>
                <w:szCs w:val="16"/>
              </w:rPr>
            </w:pPr>
            <w:r w:rsidRPr="0028663E">
              <w:rPr>
                <w:rFonts w:ascii="Verdana" w:hAnsi="Verdana"/>
                <w:sz w:val="16"/>
                <w:szCs w:val="16"/>
              </w:rPr>
              <w:t xml:space="preserve">Registered providers shall </w:t>
            </w:r>
            <w:r w:rsidRPr="0028663E">
              <w:rPr>
                <w:rFonts w:ascii="Verdana" w:hAnsi="Verdana"/>
                <w:b/>
                <w:sz w:val="16"/>
                <w:szCs w:val="16"/>
              </w:rPr>
              <w:t>communicate in a timely</w:t>
            </w:r>
            <w:r w:rsidRPr="0028663E">
              <w:rPr>
                <w:rFonts w:ascii="Verdana" w:hAnsi="Verdana"/>
                <w:sz w:val="16"/>
                <w:szCs w:val="16"/>
              </w:rPr>
              <w:t xml:space="preserve"> </w:t>
            </w:r>
            <w:r w:rsidRPr="0028663E">
              <w:rPr>
                <w:rFonts w:ascii="Verdana" w:hAnsi="Verdana"/>
                <w:b/>
                <w:sz w:val="16"/>
                <w:szCs w:val="16"/>
              </w:rPr>
              <w:t>manner</w:t>
            </w:r>
            <w:r w:rsidRPr="0028663E">
              <w:rPr>
                <w:rFonts w:ascii="Verdana" w:hAnsi="Verdana"/>
                <w:sz w:val="16"/>
                <w:szCs w:val="16"/>
              </w:rPr>
              <w:t xml:space="preserve"> with the regulator on material issues that relate to non-compliance or potential non-compliance with the standards.</w:t>
            </w:r>
          </w:p>
        </w:tc>
        <w:tc>
          <w:tcPr>
            <w:tcW w:w="4797" w:type="dxa"/>
            <w:shd w:val="clear" w:color="auto" w:fill="auto"/>
          </w:tcPr>
          <w:p w14:paraId="73C541FE" w14:textId="77777777" w:rsidR="00B02749" w:rsidRPr="0028663E" w:rsidRDefault="00B02749" w:rsidP="00B02749">
            <w:pPr>
              <w:pStyle w:val="Default"/>
              <w:spacing w:line="276" w:lineRule="auto"/>
              <w:rPr>
                <w:rFonts w:ascii="Verdana" w:hAnsi="Verdana"/>
                <w:color w:val="auto"/>
                <w:sz w:val="16"/>
                <w:szCs w:val="16"/>
              </w:rPr>
            </w:pPr>
            <w:r w:rsidRPr="0028663E">
              <w:rPr>
                <w:rFonts w:ascii="Verdana" w:hAnsi="Verdana"/>
                <w:color w:val="auto"/>
                <w:sz w:val="16"/>
                <w:szCs w:val="16"/>
              </w:rPr>
              <w:t xml:space="preserve">19)  The regulator requires registered providers to tell it at the earliest opportunity about any material issues that indicate there has been or may be a breach of the standards. This might include, for example, material frauds, liquidity issues, breaches of lenders covenants or failures of governance. This transparency is a fundamental pillar of the co-regulatory approach. </w:t>
            </w:r>
          </w:p>
          <w:p w14:paraId="71819EDD" w14:textId="77777777" w:rsidR="00B02749" w:rsidRPr="0028663E" w:rsidRDefault="00B02749" w:rsidP="00B02749">
            <w:pPr>
              <w:pStyle w:val="Default"/>
              <w:spacing w:line="276" w:lineRule="auto"/>
              <w:rPr>
                <w:rFonts w:ascii="Verdana" w:hAnsi="Verdana"/>
                <w:color w:val="auto"/>
                <w:sz w:val="16"/>
                <w:szCs w:val="16"/>
              </w:rPr>
            </w:pPr>
          </w:p>
          <w:p w14:paraId="14B86C37" w14:textId="77777777" w:rsidR="00B02749" w:rsidRPr="0028663E" w:rsidRDefault="00B02749" w:rsidP="00B02749">
            <w:pPr>
              <w:spacing w:line="276" w:lineRule="auto"/>
              <w:rPr>
                <w:rFonts w:ascii="Verdana" w:hAnsi="Verdana"/>
                <w:sz w:val="16"/>
                <w:szCs w:val="16"/>
              </w:rPr>
            </w:pPr>
            <w:r w:rsidRPr="0028663E">
              <w:rPr>
                <w:rFonts w:ascii="Verdana" w:hAnsi="Verdana"/>
                <w:sz w:val="16"/>
                <w:szCs w:val="16"/>
              </w:rPr>
              <w:t>20)  In deciding what is material, registered providers should be mindful of the regulator’s role in the consumer standards. The regulator may only intervene where there has been a breach of the standard, which has, or may cause, serious detriment. In relation to the consumer standards registered providers are only obliged to disclose those matters which have or may relate to such a breach.</w:t>
            </w:r>
          </w:p>
          <w:p w14:paraId="021C2B10" w14:textId="77777777" w:rsidR="00B02749" w:rsidRPr="0028663E" w:rsidRDefault="00B02749" w:rsidP="00B02749">
            <w:pPr>
              <w:rPr>
                <w:rFonts w:ascii="Verdana" w:hAnsi="Verdana"/>
                <w:sz w:val="16"/>
                <w:szCs w:val="16"/>
              </w:rPr>
            </w:pPr>
          </w:p>
        </w:tc>
        <w:tc>
          <w:tcPr>
            <w:tcW w:w="5782" w:type="dxa"/>
            <w:shd w:val="clear" w:color="auto" w:fill="auto"/>
          </w:tcPr>
          <w:p w14:paraId="3044484C" w14:textId="4702B4A6" w:rsidR="00B02749" w:rsidRPr="00DC0243" w:rsidRDefault="00172454" w:rsidP="00B02749">
            <w:pPr>
              <w:rPr>
                <w:rFonts w:ascii="Verdana" w:hAnsi="Verdana"/>
                <w:sz w:val="16"/>
                <w:szCs w:val="16"/>
              </w:rPr>
            </w:pPr>
            <w:r>
              <w:rPr>
                <w:rFonts w:ascii="Verdana" w:hAnsi="Verdana"/>
                <w:sz w:val="16"/>
                <w:szCs w:val="16"/>
              </w:rPr>
              <w:t xml:space="preserve">As above </w:t>
            </w:r>
          </w:p>
        </w:tc>
      </w:tr>
      <w:tr w:rsidR="00B02749" w:rsidRPr="00F15578" w14:paraId="741B3374" w14:textId="77777777" w:rsidTr="00B02749">
        <w:trPr>
          <w:trHeight w:val="651"/>
          <w:tblCellSpacing w:w="11" w:type="dxa"/>
        </w:trPr>
        <w:tc>
          <w:tcPr>
            <w:tcW w:w="758" w:type="dxa"/>
            <w:shd w:val="clear" w:color="auto" w:fill="F2F2F2" w:themeFill="background1" w:themeFillShade="F2"/>
          </w:tcPr>
          <w:p w14:paraId="1370F66F" w14:textId="77777777" w:rsidR="00B02749" w:rsidRPr="00F15578" w:rsidRDefault="00B02749" w:rsidP="00B02749">
            <w:pPr>
              <w:rPr>
                <w:rFonts w:ascii="Verdana" w:hAnsi="Verdana"/>
                <w:sz w:val="16"/>
                <w:szCs w:val="16"/>
              </w:rPr>
            </w:pPr>
            <w:r w:rsidRPr="00F15578">
              <w:rPr>
                <w:rFonts w:ascii="Verdana" w:hAnsi="Verdana"/>
                <w:sz w:val="16"/>
                <w:szCs w:val="16"/>
              </w:rPr>
              <w:t>2.4</w:t>
            </w:r>
          </w:p>
        </w:tc>
        <w:tc>
          <w:tcPr>
            <w:tcW w:w="4144" w:type="dxa"/>
            <w:shd w:val="clear" w:color="auto" w:fill="F2F2F2" w:themeFill="background1" w:themeFillShade="F2"/>
          </w:tcPr>
          <w:p w14:paraId="6FAAC063" w14:textId="77777777" w:rsidR="00B02749" w:rsidRPr="00F15578" w:rsidRDefault="00B02749" w:rsidP="00B02749">
            <w:pPr>
              <w:spacing w:line="276" w:lineRule="auto"/>
              <w:rPr>
                <w:rFonts w:ascii="Verdana" w:hAnsi="Verdana"/>
                <w:sz w:val="16"/>
                <w:szCs w:val="16"/>
              </w:rPr>
            </w:pPr>
            <w:r w:rsidRPr="00F15578">
              <w:rPr>
                <w:rFonts w:ascii="Verdana" w:hAnsi="Verdana"/>
                <w:sz w:val="16"/>
                <w:szCs w:val="16"/>
              </w:rPr>
              <w:t xml:space="preserve">Registered providers shall ensure that they have an appropriate, </w:t>
            </w:r>
            <w:proofErr w:type="gramStart"/>
            <w:r w:rsidRPr="00F15578">
              <w:rPr>
                <w:rFonts w:ascii="Verdana" w:hAnsi="Verdana"/>
                <w:b/>
                <w:sz w:val="16"/>
                <w:szCs w:val="16"/>
              </w:rPr>
              <w:t>robust</w:t>
            </w:r>
            <w:proofErr w:type="gramEnd"/>
            <w:r w:rsidRPr="00F15578">
              <w:rPr>
                <w:rFonts w:ascii="Verdana" w:hAnsi="Verdana"/>
                <w:b/>
                <w:sz w:val="16"/>
                <w:szCs w:val="16"/>
              </w:rPr>
              <w:t xml:space="preserve"> and prudent business planning, risk and control framework</w:t>
            </w:r>
            <w:r w:rsidRPr="00F15578">
              <w:rPr>
                <w:rFonts w:ascii="Verdana" w:hAnsi="Verdana"/>
                <w:sz w:val="16"/>
                <w:szCs w:val="16"/>
              </w:rPr>
              <w:t>.</w:t>
            </w:r>
          </w:p>
          <w:p w14:paraId="04A37B6C" w14:textId="77777777" w:rsidR="00B02749" w:rsidRPr="00F15578" w:rsidRDefault="00B02749" w:rsidP="00B02749">
            <w:pPr>
              <w:rPr>
                <w:rFonts w:ascii="Verdana" w:hAnsi="Verdana"/>
                <w:sz w:val="16"/>
                <w:szCs w:val="16"/>
              </w:rPr>
            </w:pPr>
          </w:p>
        </w:tc>
        <w:tc>
          <w:tcPr>
            <w:tcW w:w="4797" w:type="dxa"/>
            <w:shd w:val="clear" w:color="auto" w:fill="auto"/>
          </w:tcPr>
          <w:p w14:paraId="0EC28F9E" w14:textId="77777777" w:rsidR="00B02749" w:rsidRPr="00E81168" w:rsidRDefault="00B02749" w:rsidP="00B02749">
            <w:pPr>
              <w:pStyle w:val="Default"/>
              <w:spacing w:line="276" w:lineRule="auto"/>
              <w:rPr>
                <w:rFonts w:ascii="Verdana" w:hAnsi="Verdana"/>
                <w:color w:val="auto"/>
                <w:sz w:val="16"/>
                <w:szCs w:val="16"/>
              </w:rPr>
            </w:pPr>
            <w:r w:rsidRPr="00E81168">
              <w:rPr>
                <w:rFonts w:ascii="Verdana" w:hAnsi="Verdana"/>
                <w:color w:val="auto"/>
                <w:sz w:val="16"/>
                <w:szCs w:val="16"/>
              </w:rPr>
              <w:t xml:space="preserve">21) Registered providers need to ensure their business </w:t>
            </w:r>
            <w:proofErr w:type="gramStart"/>
            <w:r w:rsidRPr="00E81168">
              <w:rPr>
                <w:rFonts w:ascii="Verdana" w:hAnsi="Verdana"/>
                <w:color w:val="auto"/>
                <w:sz w:val="16"/>
                <w:szCs w:val="16"/>
              </w:rPr>
              <w:t>planning,</w:t>
            </w:r>
            <w:proofErr w:type="gramEnd"/>
            <w:r w:rsidRPr="00E81168">
              <w:rPr>
                <w:rFonts w:ascii="Verdana" w:hAnsi="Verdana"/>
                <w:color w:val="auto"/>
                <w:sz w:val="16"/>
                <w:szCs w:val="16"/>
              </w:rPr>
              <w:t xml:space="preserve"> risk management and control framework is effective. It should cover all areas of the registered provider's business. This should demonstrate the registered provider fully understands and has considered its operating environment, so it can deliver its business plan and organisational objectives. It does not need to be captured in a single document. </w:t>
            </w:r>
          </w:p>
          <w:p w14:paraId="590C4869" w14:textId="77777777" w:rsidR="00B02749" w:rsidRPr="00E81168" w:rsidRDefault="00B02749" w:rsidP="00B02749">
            <w:pPr>
              <w:pStyle w:val="Default"/>
              <w:spacing w:line="276" w:lineRule="auto"/>
              <w:rPr>
                <w:rFonts w:ascii="Verdana" w:hAnsi="Verdana"/>
                <w:color w:val="auto"/>
                <w:sz w:val="16"/>
                <w:szCs w:val="16"/>
              </w:rPr>
            </w:pPr>
          </w:p>
          <w:p w14:paraId="4742BDD5" w14:textId="77777777" w:rsidR="00B02749" w:rsidRPr="00E81168" w:rsidRDefault="00B02749" w:rsidP="00B02749">
            <w:pPr>
              <w:pStyle w:val="Default"/>
              <w:spacing w:line="276" w:lineRule="auto"/>
              <w:rPr>
                <w:rFonts w:ascii="Verdana" w:hAnsi="Verdana"/>
                <w:color w:val="auto"/>
                <w:sz w:val="16"/>
                <w:szCs w:val="16"/>
              </w:rPr>
            </w:pPr>
            <w:r w:rsidRPr="00E81168">
              <w:rPr>
                <w:rFonts w:ascii="Verdana" w:hAnsi="Verdana"/>
                <w:color w:val="auto"/>
                <w:sz w:val="16"/>
                <w:szCs w:val="16"/>
              </w:rPr>
              <w:t xml:space="preserve">22) Registered providers should have a clear understanding of their risk tolerances and ensure that they are appropriate to the scale and nature of the activities they are undertaking and their role as a registered provider. Registered providers should be able to identify the capital at risk from any investment </w:t>
            </w:r>
            <w:proofErr w:type="gramStart"/>
            <w:r w:rsidRPr="00E81168">
              <w:rPr>
                <w:rFonts w:ascii="Verdana" w:hAnsi="Verdana"/>
                <w:color w:val="auto"/>
                <w:sz w:val="16"/>
                <w:szCs w:val="16"/>
              </w:rPr>
              <w:t>activities, and</w:t>
            </w:r>
            <w:proofErr w:type="gramEnd"/>
            <w:r w:rsidRPr="00E81168">
              <w:rPr>
                <w:rFonts w:ascii="Verdana" w:hAnsi="Verdana"/>
                <w:color w:val="auto"/>
                <w:sz w:val="16"/>
                <w:szCs w:val="16"/>
              </w:rPr>
              <w:t xml:space="preserve"> ensure that investment is priced at such a level with a rate of return which is commensurate to the level of risk presented. Where a registered provider is a </w:t>
            </w:r>
            <w:proofErr w:type="gramStart"/>
            <w:r w:rsidRPr="00E81168">
              <w:rPr>
                <w:rFonts w:ascii="Verdana" w:hAnsi="Verdana"/>
                <w:color w:val="auto"/>
                <w:sz w:val="16"/>
                <w:szCs w:val="16"/>
              </w:rPr>
              <w:t>charity</w:t>
            </w:r>
            <w:proofErr w:type="gramEnd"/>
            <w:r w:rsidRPr="00E81168">
              <w:rPr>
                <w:rFonts w:ascii="Verdana" w:hAnsi="Verdana"/>
                <w:color w:val="auto"/>
                <w:sz w:val="16"/>
                <w:szCs w:val="16"/>
              </w:rPr>
              <w:t xml:space="preserve"> they should consider this alongside their objects and duties under charity law. Registered providers should consider the potential aggregated impact of risks, as well as their impact at an individual level. </w:t>
            </w:r>
          </w:p>
          <w:p w14:paraId="66797E7A" w14:textId="77777777" w:rsidR="00B02749" w:rsidRPr="00F15578" w:rsidRDefault="00B02749" w:rsidP="00B02749">
            <w:pPr>
              <w:rPr>
                <w:rFonts w:ascii="Verdana" w:hAnsi="Verdana"/>
                <w:sz w:val="16"/>
                <w:szCs w:val="16"/>
              </w:rPr>
            </w:pPr>
          </w:p>
        </w:tc>
        <w:tc>
          <w:tcPr>
            <w:tcW w:w="5782" w:type="dxa"/>
            <w:shd w:val="clear" w:color="auto" w:fill="auto"/>
          </w:tcPr>
          <w:p w14:paraId="11EE0AA6" w14:textId="5B340E46" w:rsidR="00B02749" w:rsidRPr="00ED6FF3" w:rsidRDefault="00172454" w:rsidP="00B02749">
            <w:pPr>
              <w:rPr>
                <w:rFonts w:ascii="Verdana" w:hAnsi="Verdana"/>
                <w:sz w:val="16"/>
                <w:szCs w:val="16"/>
              </w:rPr>
            </w:pPr>
            <w:r>
              <w:rPr>
                <w:rFonts w:ascii="Verdana" w:hAnsi="Verdana"/>
                <w:sz w:val="16"/>
                <w:szCs w:val="16"/>
              </w:rPr>
              <w:t xml:space="preserve">As above </w:t>
            </w:r>
          </w:p>
        </w:tc>
      </w:tr>
      <w:tr w:rsidR="00B02749" w:rsidRPr="00F15578" w14:paraId="56E8BA99" w14:textId="77777777" w:rsidTr="00B02749">
        <w:trPr>
          <w:trHeight w:val="1099"/>
          <w:tblCellSpacing w:w="11" w:type="dxa"/>
        </w:trPr>
        <w:tc>
          <w:tcPr>
            <w:tcW w:w="758" w:type="dxa"/>
            <w:shd w:val="clear" w:color="auto" w:fill="F2F2F2" w:themeFill="background1" w:themeFillShade="F2"/>
          </w:tcPr>
          <w:p w14:paraId="5291EF56" w14:textId="77777777" w:rsidR="00B02749" w:rsidRPr="00F15578" w:rsidRDefault="00B02749" w:rsidP="00B02749">
            <w:pPr>
              <w:rPr>
                <w:rFonts w:ascii="Verdana" w:hAnsi="Verdana"/>
                <w:sz w:val="16"/>
                <w:szCs w:val="16"/>
              </w:rPr>
            </w:pPr>
            <w:r w:rsidRPr="00F15578">
              <w:rPr>
                <w:rFonts w:ascii="Verdana" w:hAnsi="Verdana"/>
                <w:sz w:val="16"/>
                <w:szCs w:val="16"/>
              </w:rPr>
              <w:lastRenderedPageBreak/>
              <w:t>2.4.1a</w:t>
            </w:r>
          </w:p>
        </w:tc>
        <w:tc>
          <w:tcPr>
            <w:tcW w:w="4144" w:type="dxa"/>
            <w:shd w:val="clear" w:color="auto" w:fill="F2F2F2" w:themeFill="background1" w:themeFillShade="F2"/>
          </w:tcPr>
          <w:p w14:paraId="43979C5F" w14:textId="77777777" w:rsidR="00B02749" w:rsidRPr="00F15578" w:rsidRDefault="00B02749" w:rsidP="00B02749">
            <w:pPr>
              <w:spacing w:line="276" w:lineRule="auto"/>
              <w:rPr>
                <w:rFonts w:ascii="Verdana" w:hAnsi="Verdana"/>
                <w:sz w:val="16"/>
                <w:szCs w:val="16"/>
              </w:rPr>
            </w:pPr>
            <w:r w:rsidRPr="00F15578">
              <w:rPr>
                <w:rFonts w:ascii="Verdana" w:hAnsi="Verdana"/>
                <w:sz w:val="16"/>
                <w:szCs w:val="16"/>
              </w:rPr>
              <w:t xml:space="preserve">The </w:t>
            </w:r>
            <w:r w:rsidRPr="00F15578">
              <w:rPr>
                <w:rFonts w:ascii="Verdana" w:hAnsi="Verdana"/>
                <w:b/>
                <w:sz w:val="16"/>
                <w:szCs w:val="16"/>
              </w:rPr>
              <w:t xml:space="preserve">business planning, risk and control framework </w:t>
            </w:r>
            <w:r w:rsidRPr="00F15578">
              <w:rPr>
                <w:rFonts w:ascii="Verdana" w:hAnsi="Verdana"/>
                <w:sz w:val="16"/>
                <w:szCs w:val="16"/>
              </w:rPr>
              <w:t xml:space="preserve">shall ensure there </w:t>
            </w:r>
            <w:proofErr w:type="gramStart"/>
            <w:r w:rsidRPr="00F15578">
              <w:rPr>
                <w:rFonts w:ascii="Verdana" w:hAnsi="Verdana"/>
                <w:sz w:val="16"/>
                <w:szCs w:val="16"/>
              </w:rPr>
              <w:t xml:space="preserve">is access to </w:t>
            </w:r>
            <w:r w:rsidRPr="00F15578">
              <w:rPr>
                <w:rFonts w:ascii="Verdana" w:hAnsi="Verdana"/>
                <w:b/>
                <w:sz w:val="16"/>
                <w:szCs w:val="16"/>
              </w:rPr>
              <w:t>sufficient</w:t>
            </w:r>
            <w:r w:rsidRPr="00F15578">
              <w:rPr>
                <w:rFonts w:ascii="Verdana" w:hAnsi="Verdana"/>
                <w:sz w:val="16"/>
                <w:szCs w:val="16"/>
              </w:rPr>
              <w:t xml:space="preserve"> </w:t>
            </w:r>
            <w:r w:rsidRPr="00F15578">
              <w:rPr>
                <w:rFonts w:ascii="Verdana" w:hAnsi="Verdana"/>
                <w:b/>
                <w:sz w:val="16"/>
                <w:szCs w:val="16"/>
              </w:rPr>
              <w:t>liquidity</w:t>
            </w:r>
            <w:r w:rsidRPr="00F15578">
              <w:rPr>
                <w:rFonts w:ascii="Verdana" w:hAnsi="Verdana"/>
                <w:sz w:val="16"/>
                <w:szCs w:val="16"/>
              </w:rPr>
              <w:t xml:space="preserve"> at all times</w:t>
            </w:r>
            <w:proofErr w:type="gramEnd"/>
            <w:r w:rsidRPr="00F15578">
              <w:rPr>
                <w:rFonts w:ascii="Verdana" w:hAnsi="Verdana"/>
                <w:sz w:val="16"/>
                <w:szCs w:val="16"/>
              </w:rPr>
              <w:t>.</w:t>
            </w:r>
          </w:p>
          <w:p w14:paraId="2A56B218" w14:textId="77777777" w:rsidR="00B02749" w:rsidRPr="00F15578" w:rsidRDefault="00B02749" w:rsidP="00B02749">
            <w:pPr>
              <w:rPr>
                <w:rFonts w:ascii="Verdana" w:hAnsi="Verdana"/>
                <w:sz w:val="16"/>
                <w:szCs w:val="16"/>
              </w:rPr>
            </w:pPr>
          </w:p>
        </w:tc>
        <w:tc>
          <w:tcPr>
            <w:tcW w:w="4797" w:type="dxa"/>
            <w:shd w:val="clear" w:color="auto" w:fill="auto"/>
          </w:tcPr>
          <w:p w14:paraId="5AFB046E" w14:textId="77777777" w:rsidR="00B02749" w:rsidRPr="00EF7D76" w:rsidRDefault="00B02749" w:rsidP="00B02749">
            <w:pPr>
              <w:rPr>
                <w:rFonts w:ascii="Verdana" w:hAnsi="Verdana"/>
                <w:sz w:val="16"/>
                <w:szCs w:val="16"/>
              </w:rPr>
            </w:pPr>
            <w:r w:rsidRPr="00EF7D76">
              <w:rPr>
                <w:rFonts w:ascii="Verdana" w:hAnsi="Verdana"/>
                <w:sz w:val="16"/>
                <w:szCs w:val="16"/>
              </w:rPr>
              <w:t xml:space="preserve">23) Registered providers should ensure that they </w:t>
            </w:r>
            <w:proofErr w:type="gramStart"/>
            <w:r w:rsidRPr="00EF7D76">
              <w:rPr>
                <w:rFonts w:ascii="Verdana" w:hAnsi="Verdana"/>
                <w:sz w:val="16"/>
                <w:szCs w:val="16"/>
              </w:rPr>
              <w:t>have access to sufficient committed and available liquidity at all times</w:t>
            </w:r>
            <w:proofErr w:type="gramEnd"/>
            <w:r w:rsidRPr="00EF7D76">
              <w:rPr>
                <w:rFonts w:ascii="Verdana" w:hAnsi="Verdana"/>
                <w:sz w:val="16"/>
                <w:szCs w:val="16"/>
              </w:rPr>
              <w:t xml:space="preserve">. They should understand the timing of cash flows and any conditions for a drawdown so they can manage cash flow risk. This means registered providers should understand the receipts and outgoings of the business, for example, rental income, investment in existing stock, the costs of development, receipts from sales and other business, financing costs (loan capital and interest payments) and build sufficient prudence into their plans to cope with changes. </w:t>
            </w:r>
            <w:proofErr w:type="gramStart"/>
            <w:r w:rsidRPr="00EF7D76">
              <w:rPr>
                <w:rFonts w:ascii="Verdana" w:hAnsi="Verdana"/>
                <w:sz w:val="16"/>
                <w:szCs w:val="16"/>
              </w:rPr>
              <w:t>In particular, boards</w:t>
            </w:r>
            <w:proofErr w:type="gramEnd"/>
            <w:r w:rsidRPr="00EF7D76">
              <w:rPr>
                <w:rFonts w:ascii="Verdana" w:hAnsi="Verdana"/>
                <w:sz w:val="16"/>
                <w:szCs w:val="16"/>
              </w:rPr>
              <w:t xml:space="preserve"> should assure themselves that they put funding lines in place in sufficient time to cope with major cash outflows. Boards should ensure that they effectively identify and manage any risks of re-financing whether planned or in reaction to changes in the operating environment. </w:t>
            </w:r>
          </w:p>
        </w:tc>
        <w:tc>
          <w:tcPr>
            <w:tcW w:w="5782" w:type="dxa"/>
            <w:shd w:val="clear" w:color="auto" w:fill="auto"/>
          </w:tcPr>
          <w:p w14:paraId="2133AFB7" w14:textId="689EDCBD" w:rsidR="00B02749" w:rsidRPr="0037705C" w:rsidRDefault="00172454" w:rsidP="00B02749">
            <w:pPr>
              <w:rPr>
                <w:rFonts w:ascii="Verdana" w:hAnsi="Verdana"/>
                <w:sz w:val="16"/>
                <w:szCs w:val="16"/>
              </w:rPr>
            </w:pPr>
            <w:r>
              <w:rPr>
                <w:rFonts w:ascii="Verdana" w:hAnsi="Verdana"/>
                <w:sz w:val="16"/>
                <w:szCs w:val="16"/>
              </w:rPr>
              <w:t xml:space="preserve">As above </w:t>
            </w:r>
          </w:p>
        </w:tc>
      </w:tr>
      <w:tr w:rsidR="00B02749" w:rsidRPr="00F15578" w14:paraId="7E41807E" w14:textId="77777777" w:rsidTr="00B02749">
        <w:trPr>
          <w:trHeight w:val="1323"/>
          <w:tblCellSpacing w:w="11" w:type="dxa"/>
        </w:trPr>
        <w:tc>
          <w:tcPr>
            <w:tcW w:w="758" w:type="dxa"/>
            <w:shd w:val="clear" w:color="auto" w:fill="F2F2F2" w:themeFill="background1" w:themeFillShade="F2"/>
          </w:tcPr>
          <w:p w14:paraId="394B657C" w14:textId="77777777" w:rsidR="00B02749" w:rsidRPr="00F15578" w:rsidRDefault="00B02749" w:rsidP="00B02749">
            <w:pPr>
              <w:rPr>
                <w:rFonts w:ascii="Verdana" w:hAnsi="Verdana"/>
                <w:sz w:val="16"/>
                <w:szCs w:val="16"/>
              </w:rPr>
            </w:pPr>
            <w:r w:rsidRPr="00F15578">
              <w:rPr>
                <w:rFonts w:ascii="Verdana" w:hAnsi="Verdana"/>
                <w:sz w:val="16"/>
                <w:szCs w:val="16"/>
              </w:rPr>
              <w:t>2.4.1b</w:t>
            </w:r>
          </w:p>
        </w:tc>
        <w:tc>
          <w:tcPr>
            <w:tcW w:w="4144" w:type="dxa"/>
            <w:shd w:val="clear" w:color="auto" w:fill="F2F2F2" w:themeFill="background1" w:themeFillShade="F2"/>
          </w:tcPr>
          <w:p w14:paraId="1C812116" w14:textId="77777777" w:rsidR="00B02749" w:rsidRPr="00F15578" w:rsidRDefault="00B02749" w:rsidP="00B02749">
            <w:pPr>
              <w:spacing w:line="276" w:lineRule="auto"/>
              <w:rPr>
                <w:rFonts w:ascii="Verdana" w:hAnsi="Verdana"/>
                <w:sz w:val="16"/>
                <w:szCs w:val="16"/>
              </w:rPr>
            </w:pPr>
            <w:r w:rsidRPr="00F15578">
              <w:rPr>
                <w:rFonts w:ascii="Verdana" w:hAnsi="Verdana"/>
                <w:sz w:val="16"/>
                <w:szCs w:val="16"/>
              </w:rPr>
              <w:t xml:space="preserve">The </w:t>
            </w:r>
            <w:r w:rsidRPr="00F15578">
              <w:rPr>
                <w:rFonts w:ascii="Verdana" w:hAnsi="Verdana"/>
                <w:b/>
                <w:sz w:val="16"/>
                <w:szCs w:val="16"/>
              </w:rPr>
              <w:t xml:space="preserve">business planning, risk and control framework </w:t>
            </w:r>
            <w:r w:rsidRPr="00F15578">
              <w:rPr>
                <w:rFonts w:ascii="Verdana" w:hAnsi="Verdana"/>
                <w:sz w:val="16"/>
                <w:szCs w:val="16"/>
              </w:rPr>
              <w:t xml:space="preserve">shall ensure </w:t>
            </w:r>
            <w:r w:rsidRPr="00F15578">
              <w:rPr>
                <w:rFonts w:ascii="Verdana" w:hAnsi="Verdana"/>
                <w:b/>
                <w:sz w:val="16"/>
                <w:szCs w:val="16"/>
              </w:rPr>
              <w:t>financial forecasts</w:t>
            </w:r>
            <w:r w:rsidRPr="00F15578">
              <w:rPr>
                <w:rFonts w:ascii="Verdana" w:hAnsi="Verdana"/>
                <w:sz w:val="16"/>
                <w:szCs w:val="16"/>
              </w:rPr>
              <w:t xml:space="preserve"> are based on appropriate and reasonable assumptions.</w:t>
            </w:r>
          </w:p>
          <w:p w14:paraId="20DF1712" w14:textId="77777777" w:rsidR="00B02749" w:rsidRPr="00F15578" w:rsidRDefault="00B02749" w:rsidP="00B02749">
            <w:pPr>
              <w:rPr>
                <w:rFonts w:ascii="Verdana" w:hAnsi="Verdana"/>
                <w:sz w:val="16"/>
                <w:szCs w:val="16"/>
              </w:rPr>
            </w:pPr>
          </w:p>
        </w:tc>
        <w:tc>
          <w:tcPr>
            <w:tcW w:w="4797" w:type="dxa"/>
            <w:shd w:val="clear" w:color="auto" w:fill="auto"/>
          </w:tcPr>
          <w:p w14:paraId="2984CB5B" w14:textId="77777777" w:rsidR="00B02749" w:rsidRPr="00E81168" w:rsidRDefault="00B02749" w:rsidP="00B02749">
            <w:pPr>
              <w:pStyle w:val="Default"/>
              <w:spacing w:line="276" w:lineRule="auto"/>
              <w:rPr>
                <w:rFonts w:ascii="Verdana" w:hAnsi="Verdana"/>
                <w:color w:val="auto"/>
                <w:sz w:val="16"/>
                <w:szCs w:val="16"/>
              </w:rPr>
            </w:pPr>
            <w:r w:rsidRPr="00E81168">
              <w:rPr>
                <w:rFonts w:ascii="Verdana" w:hAnsi="Verdana"/>
                <w:color w:val="auto"/>
                <w:sz w:val="16"/>
                <w:szCs w:val="16"/>
              </w:rPr>
              <w:t xml:space="preserve">24) Registered providers should also look at the relationship between operational and capital cash flows. Non-discretionary expenses, including all major repairs (whether capitalised or not) and interest costs, should be met from operating income. When using capital income (for example, receipts from disposals) to meet operating expenses, boards should ensure there is a plan that ensures operating cash flows fully cover operating expenses in the future. While this is not the case, registered providers need a plan to ensure that exposures are managed. </w:t>
            </w:r>
          </w:p>
          <w:p w14:paraId="667A3647" w14:textId="77777777" w:rsidR="00B02749" w:rsidRPr="00E81168" w:rsidRDefault="00B02749" w:rsidP="00B02749">
            <w:pPr>
              <w:spacing w:line="276" w:lineRule="auto"/>
              <w:rPr>
                <w:rFonts w:ascii="Verdana" w:hAnsi="Verdana"/>
                <w:sz w:val="16"/>
                <w:szCs w:val="16"/>
              </w:rPr>
            </w:pPr>
          </w:p>
          <w:p w14:paraId="798121EC" w14:textId="77777777" w:rsidR="00B02749" w:rsidRPr="00E81168" w:rsidRDefault="00B02749" w:rsidP="00B02749">
            <w:pPr>
              <w:pStyle w:val="Default"/>
              <w:spacing w:line="276" w:lineRule="auto"/>
              <w:rPr>
                <w:rFonts w:ascii="Verdana" w:hAnsi="Verdana"/>
                <w:color w:val="auto"/>
                <w:sz w:val="16"/>
                <w:szCs w:val="16"/>
              </w:rPr>
            </w:pPr>
            <w:r w:rsidRPr="00E81168">
              <w:rPr>
                <w:rFonts w:ascii="Verdana" w:hAnsi="Verdana"/>
                <w:color w:val="auto"/>
                <w:sz w:val="16"/>
                <w:szCs w:val="16"/>
              </w:rPr>
              <w:t xml:space="preserve">25) Registered providers need to build their business on robust and prudent assumptions. Registered providers should assure themselves the assumptions used are reasonable. For </w:t>
            </w:r>
            <w:proofErr w:type="gramStart"/>
            <w:r w:rsidRPr="00E81168">
              <w:rPr>
                <w:rFonts w:ascii="Verdana" w:hAnsi="Verdana"/>
                <w:color w:val="auto"/>
                <w:sz w:val="16"/>
                <w:szCs w:val="16"/>
              </w:rPr>
              <w:t>example</w:t>
            </w:r>
            <w:proofErr w:type="gramEnd"/>
            <w:r w:rsidRPr="00E81168">
              <w:rPr>
                <w:rFonts w:ascii="Verdana" w:hAnsi="Verdana"/>
                <w:color w:val="auto"/>
                <w:sz w:val="16"/>
                <w:szCs w:val="16"/>
              </w:rPr>
              <w:t xml:space="preserve"> these may be based on: </w:t>
            </w:r>
          </w:p>
          <w:p w14:paraId="69FF5CA8" w14:textId="77777777" w:rsidR="00B02749" w:rsidRPr="00E81168" w:rsidRDefault="00B02749" w:rsidP="00B02749">
            <w:pPr>
              <w:pStyle w:val="Default"/>
              <w:numPr>
                <w:ilvl w:val="0"/>
                <w:numId w:val="9"/>
              </w:numPr>
              <w:spacing w:line="276" w:lineRule="auto"/>
              <w:rPr>
                <w:rFonts w:ascii="Verdana" w:hAnsi="Verdana"/>
                <w:color w:val="auto"/>
                <w:sz w:val="16"/>
                <w:szCs w:val="16"/>
              </w:rPr>
            </w:pPr>
            <w:r w:rsidRPr="00E81168">
              <w:rPr>
                <w:rFonts w:ascii="Verdana" w:hAnsi="Verdana"/>
                <w:color w:val="auto"/>
                <w:sz w:val="16"/>
                <w:szCs w:val="16"/>
              </w:rPr>
              <w:t>past performance</w:t>
            </w:r>
          </w:p>
          <w:p w14:paraId="0492980A" w14:textId="77777777" w:rsidR="00B02749" w:rsidRPr="00E81168" w:rsidRDefault="00B02749" w:rsidP="00B02749">
            <w:pPr>
              <w:pStyle w:val="Default"/>
              <w:numPr>
                <w:ilvl w:val="0"/>
                <w:numId w:val="9"/>
              </w:numPr>
              <w:spacing w:line="276" w:lineRule="auto"/>
              <w:rPr>
                <w:rFonts w:ascii="Verdana" w:hAnsi="Verdana"/>
                <w:color w:val="auto"/>
                <w:sz w:val="16"/>
                <w:szCs w:val="16"/>
              </w:rPr>
            </w:pPr>
            <w:r w:rsidRPr="00E81168">
              <w:rPr>
                <w:rFonts w:ascii="Verdana" w:hAnsi="Verdana"/>
                <w:color w:val="auto"/>
                <w:sz w:val="16"/>
                <w:szCs w:val="16"/>
              </w:rPr>
              <w:t>market conditions</w:t>
            </w:r>
          </w:p>
          <w:p w14:paraId="06DF668B" w14:textId="77777777" w:rsidR="00B02749" w:rsidRPr="00F15578" w:rsidRDefault="00B02749" w:rsidP="00B02749">
            <w:pPr>
              <w:rPr>
                <w:rFonts w:ascii="Verdana" w:hAnsi="Verdana"/>
                <w:sz w:val="16"/>
                <w:szCs w:val="16"/>
              </w:rPr>
            </w:pPr>
            <w:r w:rsidRPr="00E81168">
              <w:rPr>
                <w:rFonts w:ascii="Verdana" w:hAnsi="Verdana"/>
                <w:sz w:val="16"/>
                <w:szCs w:val="16"/>
              </w:rPr>
              <w:t>deliverability and forecasts of possible future conditions</w:t>
            </w:r>
          </w:p>
        </w:tc>
        <w:tc>
          <w:tcPr>
            <w:tcW w:w="5782" w:type="dxa"/>
            <w:shd w:val="clear" w:color="auto" w:fill="auto"/>
          </w:tcPr>
          <w:p w14:paraId="63C1009D" w14:textId="49C83A5D" w:rsidR="00B02749" w:rsidRPr="00F15578" w:rsidRDefault="00172454" w:rsidP="00B02749">
            <w:pPr>
              <w:rPr>
                <w:rFonts w:ascii="Verdana" w:hAnsi="Verdana"/>
                <w:sz w:val="16"/>
                <w:szCs w:val="16"/>
              </w:rPr>
            </w:pPr>
            <w:r>
              <w:rPr>
                <w:rFonts w:ascii="Verdana" w:hAnsi="Verdana"/>
                <w:sz w:val="16"/>
                <w:szCs w:val="16"/>
              </w:rPr>
              <w:t xml:space="preserve">As above </w:t>
            </w:r>
          </w:p>
        </w:tc>
      </w:tr>
      <w:tr w:rsidR="00B02749" w:rsidRPr="00F15578" w14:paraId="22154F28" w14:textId="77777777" w:rsidTr="00B02749">
        <w:trPr>
          <w:trHeight w:val="723"/>
          <w:tblCellSpacing w:w="11" w:type="dxa"/>
        </w:trPr>
        <w:tc>
          <w:tcPr>
            <w:tcW w:w="758" w:type="dxa"/>
            <w:shd w:val="clear" w:color="auto" w:fill="F2F2F2" w:themeFill="background1" w:themeFillShade="F2"/>
          </w:tcPr>
          <w:p w14:paraId="31EB4C79" w14:textId="77777777" w:rsidR="00B02749" w:rsidRPr="00F15578" w:rsidRDefault="00B02749" w:rsidP="00B02749">
            <w:pPr>
              <w:rPr>
                <w:rFonts w:ascii="Verdana" w:hAnsi="Verdana"/>
                <w:sz w:val="16"/>
                <w:szCs w:val="16"/>
              </w:rPr>
            </w:pPr>
            <w:r w:rsidRPr="00F15578">
              <w:rPr>
                <w:rFonts w:ascii="Verdana" w:hAnsi="Verdana"/>
                <w:sz w:val="16"/>
                <w:szCs w:val="16"/>
              </w:rPr>
              <w:t>2.4.1c</w:t>
            </w:r>
          </w:p>
        </w:tc>
        <w:tc>
          <w:tcPr>
            <w:tcW w:w="4144" w:type="dxa"/>
            <w:shd w:val="clear" w:color="auto" w:fill="F2F2F2" w:themeFill="background1" w:themeFillShade="F2"/>
          </w:tcPr>
          <w:p w14:paraId="2AE18A9C" w14:textId="77777777" w:rsidR="00B02749" w:rsidRPr="00F15578" w:rsidRDefault="00B02749" w:rsidP="00B02749">
            <w:pPr>
              <w:spacing w:line="276" w:lineRule="auto"/>
              <w:rPr>
                <w:rFonts w:ascii="Verdana" w:hAnsi="Verdana"/>
                <w:sz w:val="16"/>
                <w:szCs w:val="16"/>
              </w:rPr>
            </w:pPr>
            <w:r w:rsidRPr="00F15578">
              <w:rPr>
                <w:rFonts w:ascii="Verdana" w:hAnsi="Verdana"/>
                <w:sz w:val="16"/>
                <w:szCs w:val="16"/>
              </w:rPr>
              <w:t>The</w:t>
            </w:r>
            <w:r w:rsidRPr="00F15578">
              <w:rPr>
                <w:rFonts w:ascii="Verdana" w:hAnsi="Verdana"/>
                <w:b/>
                <w:sz w:val="16"/>
                <w:szCs w:val="16"/>
              </w:rPr>
              <w:t xml:space="preserve"> business planning, risk and control framework </w:t>
            </w:r>
            <w:r w:rsidRPr="00F15578">
              <w:rPr>
                <w:rFonts w:ascii="Verdana" w:hAnsi="Verdana"/>
                <w:sz w:val="16"/>
                <w:szCs w:val="16"/>
              </w:rPr>
              <w:t xml:space="preserve">shall ensure effective systems are in place to </w:t>
            </w:r>
            <w:r w:rsidRPr="00F15578">
              <w:rPr>
                <w:rFonts w:ascii="Verdana" w:hAnsi="Verdana"/>
                <w:b/>
                <w:sz w:val="16"/>
                <w:szCs w:val="16"/>
              </w:rPr>
              <w:t>monitor and accurately report</w:t>
            </w:r>
            <w:r w:rsidRPr="00F15578">
              <w:rPr>
                <w:rFonts w:ascii="Verdana" w:hAnsi="Verdana"/>
                <w:sz w:val="16"/>
                <w:szCs w:val="16"/>
              </w:rPr>
              <w:t xml:space="preserve"> delivery of the registered provider's plans.</w:t>
            </w:r>
          </w:p>
          <w:p w14:paraId="298F558B" w14:textId="77777777" w:rsidR="00B02749" w:rsidRPr="00F15578" w:rsidRDefault="00B02749" w:rsidP="00B02749">
            <w:pPr>
              <w:rPr>
                <w:rFonts w:ascii="Verdana" w:hAnsi="Verdana"/>
                <w:sz w:val="16"/>
                <w:szCs w:val="16"/>
              </w:rPr>
            </w:pPr>
          </w:p>
        </w:tc>
        <w:tc>
          <w:tcPr>
            <w:tcW w:w="4797" w:type="dxa"/>
            <w:shd w:val="clear" w:color="auto" w:fill="auto"/>
          </w:tcPr>
          <w:p w14:paraId="7AD18B49" w14:textId="1ADF31E1" w:rsidR="00B02749" w:rsidRPr="00F15578" w:rsidRDefault="00B02749" w:rsidP="00B02749">
            <w:pPr>
              <w:rPr>
                <w:rFonts w:ascii="Verdana" w:hAnsi="Verdana"/>
                <w:sz w:val="16"/>
                <w:szCs w:val="16"/>
              </w:rPr>
            </w:pPr>
            <w:r>
              <w:rPr>
                <w:rFonts w:ascii="Verdana" w:hAnsi="Verdana"/>
                <w:sz w:val="16"/>
                <w:szCs w:val="16"/>
              </w:rPr>
              <w:t>n/a</w:t>
            </w:r>
          </w:p>
        </w:tc>
        <w:tc>
          <w:tcPr>
            <w:tcW w:w="5782" w:type="dxa"/>
            <w:shd w:val="clear" w:color="auto" w:fill="auto"/>
          </w:tcPr>
          <w:p w14:paraId="5AE86FC9" w14:textId="4F800DE3" w:rsidR="00B02749" w:rsidRPr="00172454" w:rsidRDefault="00172454" w:rsidP="00172454">
            <w:pPr>
              <w:rPr>
                <w:rFonts w:ascii="Verdana" w:hAnsi="Verdana"/>
                <w:sz w:val="16"/>
                <w:szCs w:val="16"/>
              </w:rPr>
            </w:pPr>
            <w:r>
              <w:rPr>
                <w:rFonts w:ascii="Verdana" w:hAnsi="Verdana"/>
                <w:sz w:val="16"/>
                <w:szCs w:val="16"/>
              </w:rPr>
              <w:t xml:space="preserve">As above </w:t>
            </w:r>
          </w:p>
        </w:tc>
      </w:tr>
      <w:tr w:rsidR="00B02749" w:rsidRPr="00F15578" w14:paraId="044FA11F" w14:textId="77777777" w:rsidTr="00B02749">
        <w:trPr>
          <w:trHeight w:val="1323"/>
          <w:tblCellSpacing w:w="11" w:type="dxa"/>
        </w:trPr>
        <w:tc>
          <w:tcPr>
            <w:tcW w:w="758" w:type="dxa"/>
            <w:shd w:val="clear" w:color="auto" w:fill="F2F2F2" w:themeFill="background1" w:themeFillShade="F2"/>
          </w:tcPr>
          <w:p w14:paraId="268A82E8" w14:textId="77777777" w:rsidR="00B02749" w:rsidRPr="00F15578" w:rsidRDefault="00B02749" w:rsidP="00B02749">
            <w:pPr>
              <w:rPr>
                <w:rFonts w:ascii="Verdana" w:hAnsi="Verdana"/>
                <w:sz w:val="16"/>
                <w:szCs w:val="16"/>
              </w:rPr>
            </w:pPr>
            <w:r w:rsidRPr="00F15578">
              <w:rPr>
                <w:rFonts w:ascii="Verdana" w:hAnsi="Verdana"/>
                <w:sz w:val="16"/>
                <w:szCs w:val="16"/>
              </w:rPr>
              <w:lastRenderedPageBreak/>
              <w:t>2.4.1d</w:t>
            </w:r>
          </w:p>
        </w:tc>
        <w:tc>
          <w:tcPr>
            <w:tcW w:w="4144" w:type="dxa"/>
            <w:shd w:val="clear" w:color="auto" w:fill="F2F2F2" w:themeFill="background1" w:themeFillShade="F2"/>
          </w:tcPr>
          <w:p w14:paraId="2ACCBBCD" w14:textId="77777777" w:rsidR="00B02749" w:rsidRPr="00F15578" w:rsidRDefault="00B02749" w:rsidP="00B02749">
            <w:pPr>
              <w:spacing w:line="276" w:lineRule="auto"/>
              <w:rPr>
                <w:rFonts w:ascii="Verdana" w:hAnsi="Verdana"/>
                <w:sz w:val="16"/>
                <w:szCs w:val="16"/>
              </w:rPr>
            </w:pPr>
            <w:r w:rsidRPr="00F15578">
              <w:rPr>
                <w:rFonts w:ascii="Verdana" w:hAnsi="Verdana"/>
                <w:sz w:val="16"/>
                <w:szCs w:val="16"/>
              </w:rPr>
              <w:t>The</w:t>
            </w:r>
            <w:r w:rsidRPr="00F15578">
              <w:rPr>
                <w:rFonts w:ascii="Verdana" w:hAnsi="Verdana"/>
                <w:b/>
                <w:sz w:val="16"/>
                <w:szCs w:val="16"/>
              </w:rPr>
              <w:t xml:space="preserve"> business planning, risk and control framework </w:t>
            </w:r>
            <w:r w:rsidRPr="00F15578">
              <w:rPr>
                <w:rFonts w:ascii="Verdana" w:hAnsi="Verdana"/>
                <w:sz w:val="16"/>
                <w:szCs w:val="16"/>
              </w:rPr>
              <w:t xml:space="preserve">shall ensure the financial and other </w:t>
            </w:r>
            <w:r w:rsidRPr="00F15578">
              <w:rPr>
                <w:rFonts w:ascii="Verdana" w:hAnsi="Verdana"/>
                <w:b/>
                <w:sz w:val="16"/>
                <w:szCs w:val="16"/>
              </w:rPr>
              <w:t>implications of risks</w:t>
            </w:r>
            <w:r w:rsidRPr="00F15578">
              <w:rPr>
                <w:rFonts w:ascii="Verdana" w:hAnsi="Verdana"/>
                <w:sz w:val="16"/>
                <w:szCs w:val="16"/>
              </w:rPr>
              <w:t xml:space="preserve"> to the delivery of plans are considered.</w:t>
            </w:r>
          </w:p>
          <w:p w14:paraId="0B4D5FD3" w14:textId="77777777" w:rsidR="00B02749" w:rsidRPr="00F15578" w:rsidRDefault="00B02749" w:rsidP="00B02749">
            <w:pPr>
              <w:rPr>
                <w:rFonts w:ascii="Verdana" w:hAnsi="Verdana"/>
                <w:sz w:val="16"/>
                <w:szCs w:val="16"/>
              </w:rPr>
            </w:pPr>
          </w:p>
        </w:tc>
        <w:tc>
          <w:tcPr>
            <w:tcW w:w="4797" w:type="dxa"/>
            <w:shd w:val="clear" w:color="auto" w:fill="auto"/>
          </w:tcPr>
          <w:p w14:paraId="3261C58B" w14:textId="77777777" w:rsidR="00B02749" w:rsidRPr="00F15578" w:rsidRDefault="00B02749" w:rsidP="00B02749">
            <w:pPr>
              <w:rPr>
                <w:rFonts w:ascii="Verdana" w:hAnsi="Verdana"/>
                <w:sz w:val="16"/>
                <w:szCs w:val="16"/>
              </w:rPr>
            </w:pPr>
          </w:p>
        </w:tc>
        <w:tc>
          <w:tcPr>
            <w:tcW w:w="5782" w:type="dxa"/>
            <w:shd w:val="clear" w:color="auto" w:fill="auto"/>
          </w:tcPr>
          <w:p w14:paraId="647C016D" w14:textId="3115CF67" w:rsidR="00B02749" w:rsidRPr="00F15578" w:rsidRDefault="00B02749" w:rsidP="00B02749">
            <w:pPr>
              <w:rPr>
                <w:rFonts w:ascii="Verdana" w:hAnsi="Verdana"/>
                <w:sz w:val="16"/>
                <w:szCs w:val="16"/>
              </w:rPr>
            </w:pPr>
          </w:p>
        </w:tc>
      </w:tr>
      <w:tr w:rsidR="00B02749" w:rsidRPr="00F15578" w14:paraId="3B07A737" w14:textId="77777777" w:rsidTr="00B02749">
        <w:trPr>
          <w:trHeight w:val="1323"/>
          <w:tblCellSpacing w:w="11" w:type="dxa"/>
        </w:trPr>
        <w:tc>
          <w:tcPr>
            <w:tcW w:w="758" w:type="dxa"/>
            <w:shd w:val="clear" w:color="auto" w:fill="F2F2F2" w:themeFill="background1" w:themeFillShade="F2"/>
          </w:tcPr>
          <w:p w14:paraId="7DE4D2A9" w14:textId="77777777" w:rsidR="00B02749" w:rsidRPr="00F15578" w:rsidRDefault="00B02749" w:rsidP="00B02749">
            <w:pPr>
              <w:rPr>
                <w:rFonts w:ascii="Verdana" w:hAnsi="Verdana"/>
                <w:sz w:val="16"/>
                <w:szCs w:val="16"/>
              </w:rPr>
            </w:pPr>
            <w:r w:rsidRPr="00F15578">
              <w:rPr>
                <w:rFonts w:ascii="Verdana" w:hAnsi="Verdana"/>
                <w:sz w:val="16"/>
                <w:szCs w:val="16"/>
              </w:rPr>
              <w:t>2.4.1e</w:t>
            </w:r>
          </w:p>
        </w:tc>
        <w:tc>
          <w:tcPr>
            <w:tcW w:w="4144" w:type="dxa"/>
            <w:shd w:val="clear" w:color="auto" w:fill="F2F2F2" w:themeFill="background1" w:themeFillShade="F2"/>
          </w:tcPr>
          <w:p w14:paraId="4E72AAA2" w14:textId="77777777" w:rsidR="00B02749" w:rsidRPr="00F15578" w:rsidRDefault="00B02749" w:rsidP="00B02749">
            <w:pPr>
              <w:spacing w:line="276" w:lineRule="auto"/>
              <w:rPr>
                <w:rFonts w:ascii="Verdana" w:hAnsi="Verdana"/>
                <w:sz w:val="16"/>
                <w:szCs w:val="16"/>
              </w:rPr>
            </w:pPr>
            <w:r w:rsidRPr="00F15578">
              <w:rPr>
                <w:rFonts w:ascii="Verdana" w:hAnsi="Verdana"/>
                <w:sz w:val="16"/>
                <w:szCs w:val="16"/>
              </w:rPr>
              <w:t xml:space="preserve">The </w:t>
            </w:r>
            <w:r w:rsidRPr="00F15578">
              <w:rPr>
                <w:rFonts w:ascii="Verdana" w:hAnsi="Verdana"/>
                <w:b/>
                <w:sz w:val="16"/>
                <w:szCs w:val="16"/>
              </w:rPr>
              <w:t xml:space="preserve">business planning, risk and control framework </w:t>
            </w:r>
            <w:r w:rsidRPr="00F15578">
              <w:rPr>
                <w:rFonts w:ascii="Verdana" w:hAnsi="Verdana"/>
                <w:sz w:val="16"/>
                <w:szCs w:val="16"/>
              </w:rPr>
              <w:t xml:space="preserve">shall ensure registered providers </w:t>
            </w:r>
            <w:r w:rsidRPr="00F15578">
              <w:rPr>
                <w:rFonts w:ascii="Verdana" w:hAnsi="Verdana"/>
                <w:b/>
                <w:sz w:val="16"/>
                <w:szCs w:val="16"/>
              </w:rPr>
              <w:t xml:space="preserve">monitor, report </w:t>
            </w:r>
            <w:proofErr w:type="gramStart"/>
            <w:r w:rsidRPr="00F15578">
              <w:rPr>
                <w:rFonts w:ascii="Verdana" w:hAnsi="Verdana"/>
                <w:b/>
                <w:sz w:val="16"/>
                <w:szCs w:val="16"/>
              </w:rPr>
              <w:t>on</w:t>
            </w:r>
            <w:proofErr w:type="gramEnd"/>
            <w:r w:rsidRPr="00F15578">
              <w:rPr>
                <w:rFonts w:ascii="Verdana" w:hAnsi="Verdana"/>
                <w:b/>
                <w:sz w:val="16"/>
                <w:szCs w:val="16"/>
              </w:rPr>
              <w:t xml:space="preserve"> and comply</w:t>
            </w:r>
            <w:r w:rsidRPr="00F15578">
              <w:rPr>
                <w:rFonts w:ascii="Verdana" w:hAnsi="Verdana"/>
                <w:sz w:val="16"/>
                <w:szCs w:val="16"/>
              </w:rPr>
              <w:t xml:space="preserve"> with their funders' covenants.</w:t>
            </w:r>
          </w:p>
          <w:p w14:paraId="2008F1D4" w14:textId="77777777" w:rsidR="00B02749" w:rsidRPr="00F15578" w:rsidRDefault="00B02749" w:rsidP="00B02749">
            <w:pPr>
              <w:rPr>
                <w:rFonts w:ascii="Verdana" w:hAnsi="Verdana"/>
                <w:sz w:val="16"/>
                <w:szCs w:val="16"/>
              </w:rPr>
            </w:pPr>
          </w:p>
        </w:tc>
        <w:tc>
          <w:tcPr>
            <w:tcW w:w="4797" w:type="dxa"/>
            <w:shd w:val="clear" w:color="auto" w:fill="auto"/>
          </w:tcPr>
          <w:p w14:paraId="123217DA" w14:textId="77777777" w:rsidR="00B02749" w:rsidRPr="00E81168" w:rsidRDefault="00B02749" w:rsidP="00B02749">
            <w:pPr>
              <w:pStyle w:val="Default"/>
              <w:spacing w:line="276" w:lineRule="auto"/>
              <w:rPr>
                <w:rFonts w:ascii="Verdana" w:hAnsi="Verdana"/>
                <w:color w:val="auto"/>
                <w:sz w:val="16"/>
                <w:szCs w:val="16"/>
              </w:rPr>
            </w:pPr>
            <w:r w:rsidRPr="00E81168">
              <w:rPr>
                <w:rFonts w:ascii="Verdana" w:hAnsi="Verdana"/>
                <w:color w:val="auto"/>
                <w:sz w:val="16"/>
                <w:szCs w:val="16"/>
              </w:rPr>
              <w:t xml:space="preserve">26) The regulator expects these assumptions will be kept under review and updated in the light of changing circumstances. It is important that registered providers ensure their plan enables them to meet lenders' covenants. Registered providers need to ensure sufficient headroom to allow them to take remedial action if assumptions within the plan significantly change or (potentially) if they are not delivering against the plan. </w:t>
            </w:r>
          </w:p>
          <w:p w14:paraId="26C9C4C3" w14:textId="77777777" w:rsidR="00B02749" w:rsidRPr="00E81168" w:rsidRDefault="00B02749" w:rsidP="00B02749">
            <w:pPr>
              <w:pStyle w:val="Default"/>
              <w:spacing w:line="276" w:lineRule="auto"/>
              <w:rPr>
                <w:rFonts w:ascii="Verdana" w:hAnsi="Verdana"/>
                <w:color w:val="auto"/>
                <w:sz w:val="16"/>
                <w:szCs w:val="16"/>
              </w:rPr>
            </w:pPr>
          </w:p>
          <w:p w14:paraId="258E3A05" w14:textId="77777777" w:rsidR="00B02749" w:rsidRPr="00E81168" w:rsidRDefault="00B02749" w:rsidP="00B02749">
            <w:pPr>
              <w:pStyle w:val="Default"/>
              <w:spacing w:line="276" w:lineRule="auto"/>
              <w:rPr>
                <w:rFonts w:ascii="Verdana" w:hAnsi="Verdana"/>
                <w:color w:val="auto"/>
                <w:sz w:val="16"/>
                <w:szCs w:val="16"/>
              </w:rPr>
            </w:pPr>
            <w:r w:rsidRPr="00E81168">
              <w:rPr>
                <w:rFonts w:ascii="Verdana" w:hAnsi="Verdana"/>
                <w:color w:val="auto"/>
                <w:sz w:val="16"/>
                <w:szCs w:val="16"/>
              </w:rPr>
              <w:t>27) The regulator expects registered providers to identify the impact of significant business decisions (for example, major changes in development appetite, a new major scheme, moving into a new business stream or taking on new sources of funding) on viability (including continued covenant compliance). It also expects registered providers to report these to the board and take remedial action where necessary. Registered providers should think about their covenants in the broadest sense (financial and non-financial), set target measures of financial performance which provide headroom over covenants, and ensure they monitor all covenants.</w:t>
            </w:r>
          </w:p>
          <w:p w14:paraId="5C5488BD" w14:textId="77777777" w:rsidR="00B02749" w:rsidRPr="00E81168" w:rsidRDefault="00B02749" w:rsidP="00B02749">
            <w:pPr>
              <w:pStyle w:val="Default"/>
              <w:spacing w:line="276" w:lineRule="auto"/>
              <w:rPr>
                <w:rFonts w:ascii="Verdana" w:hAnsi="Verdana"/>
                <w:color w:val="auto"/>
                <w:sz w:val="16"/>
                <w:szCs w:val="16"/>
              </w:rPr>
            </w:pPr>
          </w:p>
          <w:p w14:paraId="320E99F8" w14:textId="77777777" w:rsidR="00B02749" w:rsidRPr="00F15578" w:rsidRDefault="00B02749" w:rsidP="00B02749">
            <w:pPr>
              <w:pStyle w:val="Default"/>
              <w:spacing w:line="276" w:lineRule="auto"/>
              <w:rPr>
                <w:rFonts w:ascii="Verdana" w:hAnsi="Verdana"/>
                <w:sz w:val="16"/>
                <w:szCs w:val="16"/>
              </w:rPr>
            </w:pPr>
            <w:r w:rsidRPr="00E81168">
              <w:rPr>
                <w:rFonts w:ascii="Verdana" w:hAnsi="Verdana"/>
                <w:color w:val="auto"/>
                <w:sz w:val="16"/>
                <w:szCs w:val="16"/>
              </w:rPr>
              <w:t>28) The boards of registered providers should also be aware of the risks posed where separate companies are in effect controlled by others (through common or shadow or directorships) and liabilities may be attributed to the registered provider putting social housing assets at risk. These risks should also be identified and mitigated.</w:t>
            </w:r>
          </w:p>
        </w:tc>
        <w:tc>
          <w:tcPr>
            <w:tcW w:w="5782" w:type="dxa"/>
            <w:shd w:val="clear" w:color="auto" w:fill="auto"/>
          </w:tcPr>
          <w:p w14:paraId="1C59C5D8" w14:textId="6F947669" w:rsidR="00B02749" w:rsidRPr="00DA701E" w:rsidRDefault="00172454" w:rsidP="00B02749">
            <w:pPr>
              <w:spacing w:after="200"/>
              <w:contextualSpacing/>
              <w:rPr>
                <w:rFonts w:ascii="Verdana" w:hAnsi="Verdana"/>
                <w:sz w:val="16"/>
                <w:szCs w:val="16"/>
              </w:rPr>
            </w:pPr>
            <w:r>
              <w:rPr>
                <w:rFonts w:ascii="Verdana" w:hAnsi="Verdana"/>
                <w:sz w:val="16"/>
                <w:szCs w:val="16"/>
              </w:rPr>
              <w:t xml:space="preserve">As above </w:t>
            </w:r>
          </w:p>
        </w:tc>
      </w:tr>
      <w:tr w:rsidR="00B02749" w:rsidRPr="00F15578" w14:paraId="25D51C3D" w14:textId="77777777" w:rsidTr="00B02749">
        <w:trPr>
          <w:trHeight w:val="1006"/>
          <w:tblCellSpacing w:w="11" w:type="dxa"/>
        </w:trPr>
        <w:tc>
          <w:tcPr>
            <w:tcW w:w="758" w:type="dxa"/>
            <w:shd w:val="clear" w:color="auto" w:fill="F2F2F2" w:themeFill="background1" w:themeFillShade="F2"/>
          </w:tcPr>
          <w:p w14:paraId="2FA6C837" w14:textId="77777777" w:rsidR="00B02749" w:rsidRPr="00F15578" w:rsidRDefault="00B02749" w:rsidP="00B02749">
            <w:pPr>
              <w:rPr>
                <w:rFonts w:ascii="Verdana" w:hAnsi="Verdana"/>
                <w:sz w:val="16"/>
                <w:szCs w:val="16"/>
              </w:rPr>
            </w:pPr>
            <w:r w:rsidRPr="00F15578">
              <w:rPr>
                <w:rFonts w:ascii="Verdana" w:hAnsi="Verdana"/>
                <w:sz w:val="16"/>
                <w:szCs w:val="16"/>
              </w:rPr>
              <w:t>2.4.2</w:t>
            </w:r>
          </w:p>
        </w:tc>
        <w:tc>
          <w:tcPr>
            <w:tcW w:w="4144" w:type="dxa"/>
            <w:shd w:val="clear" w:color="auto" w:fill="F2F2F2" w:themeFill="background1" w:themeFillShade="F2"/>
          </w:tcPr>
          <w:p w14:paraId="2C5BBAA7" w14:textId="77777777" w:rsidR="00B02749" w:rsidRPr="00F15578" w:rsidRDefault="00B02749" w:rsidP="00B02749">
            <w:pPr>
              <w:spacing w:line="276" w:lineRule="auto"/>
              <w:rPr>
                <w:rFonts w:ascii="Verdana" w:hAnsi="Verdana"/>
                <w:sz w:val="16"/>
                <w:szCs w:val="16"/>
              </w:rPr>
            </w:pPr>
            <w:r w:rsidRPr="00F15578">
              <w:rPr>
                <w:rFonts w:ascii="Verdana" w:hAnsi="Verdana"/>
                <w:sz w:val="16"/>
                <w:szCs w:val="16"/>
              </w:rPr>
              <w:t>The</w:t>
            </w:r>
            <w:r w:rsidRPr="00F15578">
              <w:rPr>
                <w:rFonts w:ascii="Verdana" w:hAnsi="Verdana"/>
                <w:b/>
                <w:sz w:val="16"/>
                <w:szCs w:val="16"/>
              </w:rPr>
              <w:t xml:space="preserve"> business planning, risk and control framework </w:t>
            </w:r>
            <w:r w:rsidRPr="00F15578">
              <w:rPr>
                <w:rFonts w:ascii="Verdana" w:hAnsi="Verdana"/>
                <w:sz w:val="16"/>
                <w:szCs w:val="16"/>
              </w:rPr>
              <w:t xml:space="preserve">shall be approved by the registered provider's boards and its effectiveness in achieving the required outcomes shall be reviewed </w:t>
            </w:r>
            <w:r w:rsidRPr="00F15578">
              <w:rPr>
                <w:rFonts w:ascii="Verdana" w:hAnsi="Verdana"/>
                <w:b/>
                <w:sz w:val="16"/>
                <w:szCs w:val="16"/>
              </w:rPr>
              <w:t>at least once a year.</w:t>
            </w:r>
          </w:p>
        </w:tc>
        <w:tc>
          <w:tcPr>
            <w:tcW w:w="4797" w:type="dxa"/>
            <w:shd w:val="clear" w:color="auto" w:fill="auto"/>
          </w:tcPr>
          <w:p w14:paraId="561455E2" w14:textId="79EB0957" w:rsidR="00B02749" w:rsidRPr="00F15578" w:rsidRDefault="00172454" w:rsidP="00B02749">
            <w:pPr>
              <w:rPr>
                <w:rFonts w:ascii="Verdana" w:hAnsi="Verdana"/>
                <w:sz w:val="16"/>
                <w:szCs w:val="16"/>
              </w:rPr>
            </w:pPr>
            <w:r>
              <w:rPr>
                <w:rFonts w:ascii="Verdana" w:hAnsi="Verdana"/>
                <w:sz w:val="16"/>
                <w:szCs w:val="16"/>
              </w:rPr>
              <w:t>n/a</w:t>
            </w:r>
          </w:p>
        </w:tc>
        <w:tc>
          <w:tcPr>
            <w:tcW w:w="5782" w:type="dxa"/>
            <w:shd w:val="clear" w:color="auto" w:fill="auto"/>
          </w:tcPr>
          <w:p w14:paraId="7DD314E2" w14:textId="3D369EB0" w:rsidR="00B02749" w:rsidRPr="00172454" w:rsidRDefault="00172454" w:rsidP="00B02749">
            <w:pPr>
              <w:rPr>
                <w:bCs/>
              </w:rPr>
            </w:pPr>
            <w:r w:rsidRPr="00172454">
              <w:rPr>
                <w:bCs/>
                <w:sz w:val="20"/>
                <w:szCs w:val="20"/>
              </w:rPr>
              <w:t xml:space="preserve">As above </w:t>
            </w:r>
          </w:p>
        </w:tc>
      </w:tr>
      <w:tr w:rsidR="00B02749" w:rsidRPr="00F15578" w14:paraId="241C5251" w14:textId="77777777" w:rsidTr="00B02749">
        <w:trPr>
          <w:trHeight w:val="581"/>
          <w:tblCellSpacing w:w="11" w:type="dxa"/>
        </w:trPr>
        <w:tc>
          <w:tcPr>
            <w:tcW w:w="758" w:type="dxa"/>
            <w:shd w:val="clear" w:color="auto" w:fill="F2F2F2" w:themeFill="background1" w:themeFillShade="F2"/>
          </w:tcPr>
          <w:p w14:paraId="7BA906A1" w14:textId="77777777" w:rsidR="00B02749" w:rsidRPr="00F15578" w:rsidRDefault="00B02749" w:rsidP="00B02749">
            <w:pPr>
              <w:rPr>
                <w:rFonts w:ascii="Verdana" w:hAnsi="Verdana"/>
                <w:sz w:val="16"/>
                <w:szCs w:val="16"/>
              </w:rPr>
            </w:pPr>
            <w:r w:rsidRPr="00F15578">
              <w:rPr>
                <w:rFonts w:ascii="Verdana" w:hAnsi="Verdana"/>
                <w:sz w:val="16"/>
                <w:szCs w:val="16"/>
              </w:rPr>
              <w:lastRenderedPageBreak/>
              <w:t>2.5</w:t>
            </w:r>
          </w:p>
        </w:tc>
        <w:tc>
          <w:tcPr>
            <w:tcW w:w="4144" w:type="dxa"/>
            <w:shd w:val="clear" w:color="auto" w:fill="F2F2F2" w:themeFill="background1" w:themeFillShade="F2"/>
          </w:tcPr>
          <w:p w14:paraId="1E7050B7" w14:textId="77777777" w:rsidR="00B02749" w:rsidRPr="00F15578" w:rsidRDefault="00B02749" w:rsidP="00B02749">
            <w:pPr>
              <w:spacing w:line="276" w:lineRule="auto"/>
              <w:rPr>
                <w:rFonts w:ascii="Verdana" w:hAnsi="Verdana"/>
                <w:sz w:val="16"/>
                <w:szCs w:val="16"/>
              </w:rPr>
            </w:pPr>
            <w:r w:rsidRPr="00F15578">
              <w:rPr>
                <w:rFonts w:ascii="Verdana" w:hAnsi="Verdana"/>
                <w:sz w:val="16"/>
                <w:szCs w:val="16"/>
              </w:rPr>
              <w:t xml:space="preserve">In addition to the above registered providers shall </w:t>
            </w:r>
            <w:r w:rsidRPr="00F15578">
              <w:rPr>
                <w:rFonts w:ascii="Verdana" w:hAnsi="Verdana"/>
                <w:b/>
                <w:sz w:val="16"/>
                <w:szCs w:val="16"/>
              </w:rPr>
              <w:t>assess, manage and where appropriate address risks</w:t>
            </w:r>
            <w:r w:rsidRPr="00F15578">
              <w:rPr>
                <w:rFonts w:ascii="Verdana" w:hAnsi="Verdana"/>
                <w:sz w:val="16"/>
                <w:szCs w:val="16"/>
              </w:rPr>
              <w:t xml:space="preserve"> to ensure the </w:t>
            </w:r>
            <w:proofErr w:type="gramStart"/>
            <w:r w:rsidRPr="00F15578">
              <w:rPr>
                <w:rFonts w:ascii="Verdana" w:hAnsi="Verdana"/>
                <w:sz w:val="16"/>
                <w:szCs w:val="16"/>
              </w:rPr>
              <w:t>long term</w:t>
            </w:r>
            <w:proofErr w:type="gramEnd"/>
            <w:r w:rsidRPr="00F15578">
              <w:rPr>
                <w:rFonts w:ascii="Verdana" w:hAnsi="Verdana"/>
                <w:sz w:val="16"/>
                <w:szCs w:val="16"/>
              </w:rPr>
              <w:t xml:space="preserve"> viability of the registered provider, including ensuring that social housing assets are protected.</w:t>
            </w:r>
          </w:p>
          <w:p w14:paraId="55D54AA1" w14:textId="77777777" w:rsidR="00B02749" w:rsidRPr="00F15578" w:rsidRDefault="00B02749" w:rsidP="00B02749">
            <w:pPr>
              <w:rPr>
                <w:rFonts w:ascii="Verdana" w:hAnsi="Verdana"/>
                <w:sz w:val="16"/>
                <w:szCs w:val="16"/>
              </w:rPr>
            </w:pPr>
          </w:p>
        </w:tc>
        <w:tc>
          <w:tcPr>
            <w:tcW w:w="4797" w:type="dxa"/>
            <w:shd w:val="clear" w:color="auto" w:fill="auto"/>
          </w:tcPr>
          <w:p w14:paraId="729CEDA2" w14:textId="77777777" w:rsidR="00B02749" w:rsidRPr="00F15578" w:rsidRDefault="00B02749" w:rsidP="00B02749">
            <w:pPr>
              <w:rPr>
                <w:rFonts w:ascii="Verdana" w:hAnsi="Verdana"/>
                <w:sz w:val="16"/>
                <w:szCs w:val="16"/>
              </w:rPr>
            </w:pPr>
            <w:r w:rsidRPr="00E81168">
              <w:rPr>
                <w:rFonts w:ascii="Verdana" w:hAnsi="Verdana"/>
                <w:sz w:val="16"/>
                <w:szCs w:val="16"/>
              </w:rPr>
              <w:t xml:space="preserve">29) Boards are the custodians of social housing assets and the financial viability of the registered providers that hold those assets. The responsibility for managing risks, and specifically risks to social housing assets, lies with boards. As social housing is a </w:t>
            </w:r>
            <w:proofErr w:type="gramStart"/>
            <w:r w:rsidRPr="00E81168">
              <w:rPr>
                <w:rFonts w:ascii="Verdana" w:hAnsi="Verdana"/>
                <w:sz w:val="16"/>
                <w:szCs w:val="16"/>
              </w:rPr>
              <w:t>long term</w:t>
            </w:r>
            <w:proofErr w:type="gramEnd"/>
            <w:r w:rsidRPr="00E81168">
              <w:rPr>
                <w:rFonts w:ascii="Verdana" w:hAnsi="Verdana"/>
                <w:sz w:val="16"/>
                <w:szCs w:val="16"/>
              </w:rPr>
              <w:t xml:space="preserve"> asset, normally funded by long-term debt, it follows that boards need to maintain a long-term perspective on managing risk. They need to ensure that their decisions do not put short-term gains ahead of the </w:t>
            </w:r>
            <w:proofErr w:type="gramStart"/>
            <w:r w:rsidRPr="00E81168">
              <w:rPr>
                <w:rFonts w:ascii="Verdana" w:hAnsi="Verdana"/>
                <w:sz w:val="16"/>
                <w:szCs w:val="16"/>
              </w:rPr>
              <w:t>long term</w:t>
            </w:r>
            <w:proofErr w:type="gramEnd"/>
            <w:r w:rsidRPr="00E81168">
              <w:rPr>
                <w:rFonts w:ascii="Verdana" w:hAnsi="Verdana"/>
                <w:sz w:val="16"/>
                <w:szCs w:val="16"/>
              </w:rPr>
              <w:t xml:space="preserve"> sustainability of the business and the security of their social housing assets.</w:t>
            </w:r>
          </w:p>
        </w:tc>
        <w:tc>
          <w:tcPr>
            <w:tcW w:w="5782" w:type="dxa"/>
            <w:shd w:val="clear" w:color="auto" w:fill="auto"/>
          </w:tcPr>
          <w:p w14:paraId="3E5D80A0" w14:textId="53B3139E" w:rsidR="00B02749" w:rsidRPr="00AF4077" w:rsidRDefault="00B02749" w:rsidP="00B02749">
            <w:pPr>
              <w:rPr>
                <w:rFonts w:ascii="Verdana" w:hAnsi="Verdana"/>
                <w:sz w:val="16"/>
                <w:szCs w:val="16"/>
              </w:rPr>
            </w:pPr>
          </w:p>
        </w:tc>
      </w:tr>
      <w:tr w:rsidR="00B02749" w:rsidRPr="005B7D90" w14:paraId="129C8083" w14:textId="77777777" w:rsidTr="00B02749">
        <w:trPr>
          <w:trHeight w:val="635"/>
          <w:tblCellSpacing w:w="11" w:type="dxa"/>
        </w:trPr>
        <w:tc>
          <w:tcPr>
            <w:tcW w:w="758" w:type="dxa"/>
            <w:shd w:val="clear" w:color="auto" w:fill="F2F2F2" w:themeFill="background1" w:themeFillShade="F2"/>
          </w:tcPr>
          <w:p w14:paraId="6D8EBF3F" w14:textId="77777777" w:rsidR="00B02749" w:rsidRPr="005B7D90" w:rsidRDefault="00B02749" w:rsidP="00B02749">
            <w:pPr>
              <w:rPr>
                <w:rFonts w:ascii="Verdana" w:hAnsi="Verdana"/>
                <w:sz w:val="16"/>
                <w:szCs w:val="16"/>
              </w:rPr>
            </w:pPr>
            <w:r w:rsidRPr="005B7D90">
              <w:rPr>
                <w:rFonts w:ascii="Verdana" w:hAnsi="Verdana"/>
                <w:sz w:val="16"/>
                <w:szCs w:val="16"/>
              </w:rPr>
              <w:t>2.5a</w:t>
            </w:r>
          </w:p>
        </w:tc>
        <w:tc>
          <w:tcPr>
            <w:tcW w:w="4144" w:type="dxa"/>
            <w:shd w:val="clear" w:color="auto" w:fill="F2F2F2" w:themeFill="background1" w:themeFillShade="F2"/>
          </w:tcPr>
          <w:p w14:paraId="184BBB37" w14:textId="77777777" w:rsidR="00B02749" w:rsidRPr="005B7D90" w:rsidRDefault="00B02749" w:rsidP="00B02749">
            <w:pPr>
              <w:rPr>
                <w:rFonts w:ascii="Verdana" w:hAnsi="Verdana"/>
                <w:sz w:val="16"/>
                <w:szCs w:val="16"/>
              </w:rPr>
            </w:pPr>
            <w:r w:rsidRPr="005B7D90">
              <w:rPr>
                <w:rFonts w:ascii="Verdana" w:hAnsi="Verdana"/>
                <w:sz w:val="16"/>
                <w:szCs w:val="16"/>
              </w:rPr>
              <w:t xml:space="preserve">Registered providers shall do so by maintaining a thorough, </w:t>
            </w:r>
            <w:r w:rsidRPr="005B7D90">
              <w:rPr>
                <w:rFonts w:ascii="Verdana" w:hAnsi="Verdana"/>
                <w:b/>
                <w:sz w:val="16"/>
                <w:szCs w:val="16"/>
              </w:rPr>
              <w:t>accurate and up to date record of their assets and liabilities</w:t>
            </w:r>
            <w:r w:rsidRPr="005B7D90">
              <w:rPr>
                <w:rFonts w:ascii="Verdana" w:hAnsi="Verdana"/>
                <w:sz w:val="16"/>
                <w:szCs w:val="16"/>
              </w:rPr>
              <w:t xml:space="preserve"> and particularly those liabilities that may have recourse to social housing assets.</w:t>
            </w:r>
          </w:p>
          <w:p w14:paraId="2C59F30A" w14:textId="77777777" w:rsidR="00B02749" w:rsidRPr="005B7D90" w:rsidRDefault="00B02749" w:rsidP="00B02749">
            <w:pPr>
              <w:rPr>
                <w:rFonts w:ascii="Verdana" w:hAnsi="Verdana"/>
                <w:sz w:val="16"/>
                <w:szCs w:val="16"/>
              </w:rPr>
            </w:pPr>
          </w:p>
        </w:tc>
        <w:tc>
          <w:tcPr>
            <w:tcW w:w="4797" w:type="dxa"/>
            <w:shd w:val="clear" w:color="auto" w:fill="auto"/>
          </w:tcPr>
          <w:p w14:paraId="11CD9A1B" w14:textId="77777777" w:rsidR="00B02749" w:rsidRPr="005B7D90" w:rsidRDefault="00B02749" w:rsidP="00B02749">
            <w:pPr>
              <w:pStyle w:val="Default"/>
              <w:spacing w:line="276" w:lineRule="auto"/>
              <w:rPr>
                <w:rFonts w:ascii="Verdana" w:hAnsi="Verdana"/>
                <w:color w:val="auto"/>
                <w:sz w:val="16"/>
                <w:szCs w:val="16"/>
              </w:rPr>
            </w:pPr>
            <w:r w:rsidRPr="005B7D90">
              <w:rPr>
                <w:rFonts w:ascii="Verdana" w:hAnsi="Verdana"/>
                <w:color w:val="auto"/>
                <w:sz w:val="16"/>
                <w:szCs w:val="16"/>
              </w:rPr>
              <w:t xml:space="preserve">The primary purpose of this requirement is to ensure that registered providers understand their housing assets and security position and have swift access to this information in decision making and risk management. Such information needs to be readily available in the event of a potential or actual failure of the registered provider. This will enable the regulator to draw up resolution strategies and aid a potential rescuer to value the social housing assets. The asset and liability register should contain sufficient information to enable a potential buyer to accurately price the value of the business and/or the value of the social housing assets in the event of distress. </w:t>
            </w:r>
          </w:p>
          <w:p w14:paraId="179DBEA0" w14:textId="77777777" w:rsidR="00B02749" w:rsidRPr="005B7D90" w:rsidRDefault="00B02749" w:rsidP="00B02749">
            <w:pPr>
              <w:pStyle w:val="Default"/>
              <w:spacing w:line="276" w:lineRule="auto"/>
              <w:rPr>
                <w:rFonts w:ascii="Verdana" w:hAnsi="Verdana"/>
                <w:color w:val="auto"/>
                <w:sz w:val="16"/>
                <w:szCs w:val="16"/>
              </w:rPr>
            </w:pPr>
          </w:p>
          <w:p w14:paraId="19A6B82D" w14:textId="77777777" w:rsidR="00B02749" w:rsidRPr="005B7D90" w:rsidRDefault="00B02749" w:rsidP="00B02749">
            <w:pPr>
              <w:pStyle w:val="Default"/>
              <w:spacing w:line="276" w:lineRule="auto"/>
              <w:rPr>
                <w:rFonts w:ascii="Verdana" w:hAnsi="Verdana"/>
                <w:color w:val="auto"/>
                <w:sz w:val="16"/>
                <w:szCs w:val="16"/>
              </w:rPr>
            </w:pPr>
            <w:r w:rsidRPr="005B7D90">
              <w:rPr>
                <w:rFonts w:ascii="Verdana" w:hAnsi="Verdana"/>
                <w:color w:val="auto"/>
                <w:sz w:val="16"/>
                <w:szCs w:val="16"/>
              </w:rPr>
              <w:t xml:space="preserve">31) It is for registered providers to ensure such information is accurate and </w:t>
            </w:r>
            <w:proofErr w:type="gramStart"/>
            <w:r w:rsidRPr="005B7D90">
              <w:rPr>
                <w:rFonts w:ascii="Verdana" w:hAnsi="Verdana"/>
                <w:color w:val="auto"/>
                <w:sz w:val="16"/>
                <w:szCs w:val="16"/>
              </w:rPr>
              <w:t>up-to-date</w:t>
            </w:r>
            <w:proofErr w:type="gramEnd"/>
            <w:r w:rsidRPr="005B7D90">
              <w:rPr>
                <w:rFonts w:ascii="Verdana" w:hAnsi="Verdana"/>
                <w:color w:val="auto"/>
                <w:sz w:val="16"/>
                <w:szCs w:val="16"/>
              </w:rPr>
              <w:t xml:space="preserve">. They should be able to produce an overview for the regulator at short notice. The records need to cover the breadth of the registered provider’s activities (including activities carried out in subsidiaries, joint ventures and SPVs) and identify its assets and liabilities. The regulator does not prescribe the format of such records. The approach taken is likely to vary according to the size and complexity of the registered provider. The regulator expects that a registered provider’s board will oversee the maintenance of these records and that they are readily reconcilable and regularly reconciled. </w:t>
            </w:r>
          </w:p>
          <w:p w14:paraId="2BF444BB" w14:textId="77777777" w:rsidR="00B02749" w:rsidRPr="005B7D90" w:rsidRDefault="00B02749" w:rsidP="00B02749">
            <w:pPr>
              <w:pStyle w:val="Default"/>
              <w:spacing w:line="276" w:lineRule="auto"/>
              <w:rPr>
                <w:rFonts w:ascii="Verdana" w:hAnsi="Verdana"/>
                <w:color w:val="auto"/>
                <w:sz w:val="16"/>
                <w:szCs w:val="16"/>
              </w:rPr>
            </w:pPr>
          </w:p>
          <w:p w14:paraId="54FD7E1E" w14:textId="77777777" w:rsidR="00B02749" w:rsidRPr="005B7D90" w:rsidRDefault="00B02749" w:rsidP="00B02749">
            <w:pPr>
              <w:pStyle w:val="Default"/>
              <w:spacing w:line="276" w:lineRule="auto"/>
              <w:rPr>
                <w:rFonts w:ascii="Verdana" w:hAnsi="Verdana"/>
                <w:color w:val="auto"/>
                <w:sz w:val="16"/>
                <w:szCs w:val="16"/>
              </w:rPr>
            </w:pPr>
            <w:r w:rsidRPr="005B7D90">
              <w:rPr>
                <w:rFonts w:ascii="Verdana" w:hAnsi="Verdana"/>
                <w:color w:val="auto"/>
                <w:sz w:val="16"/>
                <w:szCs w:val="16"/>
              </w:rPr>
              <w:t xml:space="preserve">32) Asset records should clearly identify social housing assets and where these assets are encumbered. Such records would normally include, but are not limited to, treasury arrangements, key contracts, title information </w:t>
            </w:r>
            <w:r w:rsidRPr="005B7D90">
              <w:rPr>
                <w:rFonts w:ascii="Verdana" w:hAnsi="Verdana"/>
                <w:color w:val="auto"/>
                <w:sz w:val="16"/>
                <w:szCs w:val="16"/>
              </w:rPr>
              <w:lastRenderedPageBreak/>
              <w:t xml:space="preserve">and any restrictions on that title (for example planning obligations, charitable or other restrictions), valuations, stock condition and lender covenants. </w:t>
            </w:r>
          </w:p>
          <w:p w14:paraId="1BDC29FB" w14:textId="77777777" w:rsidR="00B02749" w:rsidRPr="005B7D90" w:rsidRDefault="00B02749" w:rsidP="00B02749">
            <w:pPr>
              <w:pStyle w:val="Default"/>
              <w:spacing w:line="276" w:lineRule="auto"/>
              <w:rPr>
                <w:rFonts w:ascii="Verdana" w:hAnsi="Verdana"/>
                <w:color w:val="auto"/>
                <w:sz w:val="16"/>
                <w:szCs w:val="16"/>
              </w:rPr>
            </w:pPr>
          </w:p>
          <w:p w14:paraId="684336EE" w14:textId="77777777" w:rsidR="00B02749" w:rsidRPr="005B7D90" w:rsidRDefault="00B02749" w:rsidP="00B02749">
            <w:pPr>
              <w:pStyle w:val="Default"/>
              <w:spacing w:line="276" w:lineRule="auto"/>
              <w:rPr>
                <w:rFonts w:ascii="Verdana" w:hAnsi="Verdana"/>
                <w:color w:val="auto"/>
                <w:sz w:val="16"/>
                <w:szCs w:val="16"/>
              </w:rPr>
            </w:pPr>
            <w:r w:rsidRPr="005B7D90">
              <w:rPr>
                <w:rFonts w:ascii="Verdana" w:hAnsi="Verdana"/>
                <w:color w:val="auto"/>
                <w:sz w:val="16"/>
                <w:szCs w:val="16"/>
              </w:rPr>
              <w:t xml:space="preserve">33) Registered providers should consider and record their liabilities in the widest context. The regulator considers the liabilities should include items which relate directly to the social housing assets and those which might have an impact on the </w:t>
            </w:r>
            <w:proofErr w:type="gramStart"/>
            <w:r w:rsidRPr="005B7D90">
              <w:rPr>
                <w:rFonts w:ascii="Verdana" w:hAnsi="Verdana"/>
                <w:color w:val="auto"/>
                <w:sz w:val="16"/>
                <w:szCs w:val="16"/>
              </w:rPr>
              <w:t>business as a whole</w:t>
            </w:r>
            <w:proofErr w:type="gramEnd"/>
            <w:r w:rsidRPr="005B7D90">
              <w:rPr>
                <w:rFonts w:ascii="Verdana" w:hAnsi="Verdana"/>
                <w:color w:val="auto"/>
                <w:sz w:val="16"/>
                <w:szCs w:val="16"/>
              </w:rPr>
              <w:t xml:space="preserve">. This may include, but is not limited to: </w:t>
            </w:r>
          </w:p>
          <w:p w14:paraId="759F43DD" w14:textId="77777777" w:rsidR="00B02749" w:rsidRPr="005B7D90" w:rsidRDefault="00B02749" w:rsidP="00B02749">
            <w:pPr>
              <w:pStyle w:val="Default"/>
              <w:numPr>
                <w:ilvl w:val="0"/>
                <w:numId w:val="10"/>
              </w:numPr>
              <w:spacing w:line="276" w:lineRule="auto"/>
              <w:rPr>
                <w:rFonts w:ascii="Verdana" w:hAnsi="Verdana"/>
                <w:color w:val="auto"/>
                <w:sz w:val="16"/>
                <w:szCs w:val="16"/>
              </w:rPr>
            </w:pPr>
            <w:r w:rsidRPr="005B7D90">
              <w:rPr>
                <w:rFonts w:ascii="Verdana" w:hAnsi="Verdana"/>
                <w:color w:val="auto"/>
                <w:sz w:val="16"/>
                <w:szCs w:val="16"/>
              </w:rPr>
              <w:t>loans including borrowing from other group companies or related undertakings</w:t>
            </w:r>
          </w:p>
          <w:p w14:paraId="79FB7BB4" w14:textId="77777777" w:rsidR="00B02749" w:rsidRPr="005B7D90" w:rsidRDefault="00B02749" w:rsidP="00B02749">
            <w:pPr>
              <w:pStyle w:val="Default"/>
              <w:spacing w:after="55" w:line="276" w:lineRule="auto"/>
              <w:rPr>
                <w:rFonts w:ascii="Verdana" w:hAnsi="Verdana"/>
                <w:color w:val="auto"/>
                <w:sz w:val="16"/>
                <w:szCs w:val="16"/>
              </w:rPr>
            </w:pPr>
          </w:p>
          <w:p w14:paraId="3FC5A380" w14:textId="77777777" w:rsidR="00B02749" w:rsidRPr="005B7D90" w:rsidRDefault="00B02749" w:rsidP="00B02749">
            <w:pPr>
              <w:pStyle w:val="Default"/>
              <w:numPr>
                <w:ilvl w:val="0"/>
                <w:numId w:val="10"/>
              </w:numPr>
              <w:spacing w:line="276" w:lineRule="auto"/>
              <w:rPr>
                <w:rFonts w:ascii="Verdana" w:hAnsi="Verdana"/>
                <w:color w:val="auto"/>
                <w:sz w:val="16"/>
                <w:szCs w:val="16"/>
              </w:rPr>
            </w:pPr>
            <w:r w:rsidRPr="005B7D90">
              <w:rPr>
                <w:rFonts w:ascii="Verdana" w:hAnsi="Verdana"/>
                <w:color w:val="auto"/>
                <w:sz w:val="16"/>
                <w:szCs w:val="16"/>
              </w:rPr>
              <w:t xml:space="preserve">guarantees, indemnities etc. including those provided to subsidiaries and </w:t>
            </w:r>
            <w:proofErr w:type="spellStart"/>
            <w:proofErr w:type="gramStart"/>
            <w:r w:rsidRPr="005B7D90">
              <w:rPr>
                <w:rFonts w:ascii="Verdana" w:hAnsi="Verdana"/>
                <w:color w:val="auto"/>
                <w:sz w:val="16"/>
                <w:szCs w:val="16"/>
              </w:rPr>
              <w:t>SPVs,whether</w:t>
            </w:r>
            <w:proofErr w:type="spellEnd"/>
            <w:proofErr w:type="gramEnd"/>
            <w:r w:rsidRPr="005B7D90">
              <w:rPr>
                <w:rFonts w:ascii="Verdana" w:hAnsi="Verdana"/>
                <w:color w:val="auto"/>
                <w:sz w:val="16"/>
                <w:szCs w:val="16"/>
              </w:rPr>
              <w:t xml:space="preserve"> secured or unsecured</w:t>
            </w:r>
          </w:p>
          <w:p w14:paraId="1C1E29C3" w14:textId="77777777" w:rsidR="00B02749" w:rsidRPr="005B7D90" w:rsidRDefault="00B02749" w:rsidP="00B02749">
            <w:pPr>
              <w:pStyle w:val="ListParagraph"/>
              <w:spacing w:line="276" w:lineRule="auto"/>
              <w:rPr>
                <w:rFonts w:ascii="Verdana" w:hAnsi="Verdana"/>
                <w:sz w:val="16"/>
                <w:szCs w:val="16"/>
              </w:rPr>
            </w:pPr>
          </w:p>
          <w:p w14:paraId="4C34E386" w14:textId="77777777" w:rsidR="00B02749" w:rsidRPr="005B7D90" w:rsidRDefault="00B02749" w:rsidP="00B02749">
            <w:pPr>
              <w:pStyle w:val="Default"/>
              <w:numPr>
                <w:ilvl w:val="0"/>
                <w:numId w:val="10"/>
              </w:numPr>
              <w:spacing w:after="55" w:line="276" w:lineRule="auto"/>
              <w:rPr>
                <w:rFonts w:ascii="Verdana" w:hAnsi="Verdana"/>
                <w:color w:val="auto"/>
                <w:sz w:val="16"/>
                <w:szCs w:val="16"/>
              </w:rPr>
            </w:pPr>
            <w:r w:rsidRPr="005B7D90">
              <w:rPr>
                <w:rFonts w:ascii="Verdana" w:hAnsi="Verdana"/>
                <w:color w:val="auto"/>
                <w:sz w:val="16"/>
                <w:szCs w:val="16"/>
              </w:rPr>
              <w:t>leases, sale/</w:t>
            </w:r>
            <w:proofErr w:type="gramStart"/>
            <w:r w:rsidRPr="005B7D90">
              <w:rPr>
                <w:rFonts w:ascii="Verdana" w:hAnsi="Verdana"/>
                <w:color w:val="auto"/>
                <w:sz w:val="16"/>
                <w:szCs w:val="16"/>
              </w:rPr>
              <w:t>lease</w:t>
            </w:r>
            <w:proofErr w:type="gramEnd"/>
            <w:r w:rsidRPr="005B7D90">
              <w:rPr>
                <w:rFonts w:ascii="Verdana" w:hAnsi="Verdana"/>
                <w:color w:val="auto"/>
                <w:sz w:val="16"/>
                <w:szCs w:val="16"/>
              </w:rPr>
              <w:t xml:space="preserve"> and leaseback transactions</w:t>
            </w:r>
          </w:p>
          <w:p w14:paraId="240962AC" w14:textId="77777777" w:rsidR="00B02749" w:rsidRPr="005B7D90" w:rsidRDefault="00B02749" w:rsidP="00B02749">
            <w:pPr>
              <w:pStyle w:val="ListParagraph"/>
              <w:spacing w:line="276" w:lineRule="auto"/>
              <w:rPr>
                <w:rFonts w:ascii="Verdana" w:hAnsi="Verdana"/>
                <w:sz w:val="16"/>
                <w:szCs w:val="16"/>
              </w:rPr>
            </w:pPr>
          </w:p>
          <w:p w14:paraId="171B35E8" w14:textId="77777777" w:rsidR="00B02749" w:rsidRPr="005B7D90" w:rsidRDefault="00B02749" w:rsidP="00B02749">
            <w:pPr>
              <w:pStyle w:val="Default"/>
              <w:numPr>
                <w:ilvl w:val="0"/>
                <w:numId w:val="10"/>
              </w:numPr>
              <w:spacing w:line="276" w:lineRule="auto"/>
              <w:rPr>
                <w:rFonts w:ascii="Verdana" w:hAnsi="Verdana"/>
                <w:color w:val="auto"/>
                <w:sz w:val="16"/>
                <w:szCs w:val="16"/>
              </w:rPr>
            </w:pPr>
            <w:r w:rsidRPr="005B7D90">
              <w:rPr>
                <w:rFonts w:ascii="Verdana" w:hAnsi="Verdana"/>
                <w:color w:val="auto"/>
                <w:sz w:val="16"/>
                <w:szCs w:val="16"/>
              </w:rPr>
              <w:t>mark-to-market exposures on derivative positions</w:t>
            </w:r>
          </w:p>
          <w:p w14:paraId="09EFBB75" w14:textId="77777777" w:rsidR="00B02749" w:rsidRPr="005B7D90" w:rsidRDefault="00B02749" w:rsidP="00B02749">
            <w:pPr>
              <w:pStyle w:val="ListParagraph"/>
              <w:spacing w:line="276" w:lineRule="auto"/>
              <w:rPr>
                <w:rFonts w:ascii="Verdana" w:hAnsi="Verdana"/>
                <w:sz w:val="16"/>
                <w:szCs w:val="16"/>
              </w:rPr>
            </w:pPr>
          </w:p>
          <w:p w14:paraId="4CF7377E" w14:textId="77777777" w:rsidR="00B02749" w:rsidRPr="005B7D90" w:rsidRDefault="00B02749" w:rsidP="00B02749">
            <w:pPr>
              <w:pStyle w:val="Default"/>
              <w:numPr>
                <w:ilvl w:val="0"/>
                <w:numId w:val="10"/>
              </w:numPr>
              <w:spacing w:after="54" w:line="276" w:lineRule="auto"/>
              <w:rPr>
                <w:rFonts w:ascii="Verdana" w:hAnsi="Verdana"/>
                <w:color w:val="auto"/>
                <w:sz w:val="16"/>
                <w:szCs w:val="16"/>
              </w:rPr>
            </w:pPr>
            <w:r w:rsidRPr="005B7D90">
              <w:rPr>
                <w:rFonts w:ascii="Verdana" w:hAnsi="Verdana"/>
                <w:color w:val="auto"/>
                <w:sz w:val="16"/>
                <w:szCs w:val="16"/>
              </w:rPr>
              <w:t>cross default provisions (for example, a provision in a loan agreement which provides that a default on one loan agreement gives rise to a default on another one, including where these potentially cross between entities)</w:t>
            </w:r>
          </w:p>
          <w:p w14:paraId="4318BB42" w14:textId="77777777" w:rsidR="00B02749" w:rsidRPr="005B7D90" w:rsidRDefault="00B02749" w:rsidP="00B02749">
            <w:pPr>
              <w:pStyle w:val="Default"/>
              <w:numPr>
                <w:ilvl w:val="0"/>
                <w:numId w:val="10"/>
              </w:numPr>
              <w:spacing w:after="54" w:line="276" w:lineRule="auto"/>
              <w:rPr>
                <w:rFonts w:ascii="Verdana" w:hAnsi="Verdana"/>
                <w:color w:val="auto"/>
                <w:sz w:val="16"/>
                <w:szCs w:val="16"/>
              </w:rPr>
            </w:pPr>
            <w:r w:rsidRPr="005B7D90">
              <w:rPr>
                <w:rFonts w:ascii="Verdana" w:hAnsi="Verdana"/>
                <w:color w:val="auto"/>
                <w:sz w:val="16"/>
                <w:szCs w:val="16"/>
              </w:rPr>
              <w:t>a duty or responsibility that obligates the entity to another, leaving it little or no discretion to avoid settlement</w:t>
            </w:r>
          </w:p>
          <w:p w14:paraId="26D4AEB1" w14:textId="77777777" w:rsidR="00B02749" w:rsidRPr="005B7D90" w:rsidRDefault="00B02749" w:rsidP="00B02749">
            <w:pPr>
              <w:pStyle w:val="Default"/>
              <w:spacing w:line="276" w:lineRule="auto"/>
              <w:rPr>
                <w:rFonts w:ascii="Verdana" w:hAnsi="Verdana"/>
                <w:color w:val="auto"/>
                <w:sz w:val="16"/>
                <w:szCs w:val="16"/>
              </w:rPr>
            </w:pPr>
          </w:p>
          <w:p w14:paraId="483E7C5D" w14:textId="77777777" w:rsidR="00B02749" w:rsidRPr="005B7D90" w:rsidRDefault="00B02749" w:rsidP="00B02749">
            <w:pPr>
              <w:pStyle w:val="Default"/>
              <w:numPr>
                <w:ilvl w:val="0"/>
                <w:numId w:val="10"/>
              </w:numPr>
              <w:spacing w:line="276" w:lineRule="auto"/>
              <w:rPr>
                <w:rFonts w:ascii="Verdana" w:hAnsi="Verdana"/>
                <w:color w:val="auto"/>
                <w:sz w:val="16"/>
                <w:szCs w:val="16"/>
              </w:rPr>
            </w:pPr>
            <w:r w:rsidRPr="005B7D90">
              <w:rPr>
                <w:rFonts w:ascii="Verdana" w:hAnsi="Verdana"/>
                <w:color w:val="auto"/>
                <w:sz w:val="16"/>
                <w:szCs w:val="16"/>
              </w:rPr>
              <w:t>the potential for any impairment particularly in relation to investments in non-core activities</w:t>
            </w:r>
          </w:p>
          <w:p w14:paraId="2035E13E" w14:textId="77777777" w:rsidR="00B02749" w:rsidRPr="005B7D90" w:rsidRDefault="00B02749" w:rsidP="00B02749">
            <w:pPr>
              <w:pStyle w:val="Default"/>
              <w:spacing w:line="276" w:lineRule="auto"/>
              <w:rPr>
                <w:rFonts w:ascii="Verdana" w:hAnsi="Verdana"/>
                <w:color w:val="auto"/>
                <w:sz w:val="16"/>
                <w:szCs w:val="16"/>
              </w:rPr>
            </w:pPr>
          </w:p>
          <w:p w14:paraId="4E0EB8C0" w14:textId="77777777" w:rsidR="00B02749" w:rsidRPr="005B7D90" w:rsidRDefault="00B02749" w:rsidP="00B02749">
            <w:pPr>
              <w:spacing w:line="276" w:lineRule="auto"/>
              <w:rPr>
                <w:rFonts w:ascii="Verdana" w:hAnsi="Verdana"/>
                <w:sz w:val="16"/>
                <w:szCs w:val="16"/>
              </w:rPr>
            </w:pPr>
            <w:r w:rsidRPr="005B7D90">
              <w:rPr>
                <w:rFonts w:ascii="Verdana" w:hAnsi="Verdana"/>
                <w:sz w:val="16"/>
                <w:szCs w:val="16"/>
              </w:rPr>
              <w:t xml:space="preserve">34) Within group structures, boards should ensure they have full understanding of where liabilities exist between all entities (both registered and unregistered). This should include understanding of how a failure in one part of the group may affect other members of the group. Registered providers in a group should ensure </w:t>
            </w:r>
            <w:r w:rsidRPr="005B7D90">
              <w:rPr>
                <w:rFonts w:ascii="Verdana" w:hAnsi="Verdana"/>
                <w:sz w:val="16"/>
                <w:szCs w:val="16"/>
              </w:rPr>
              <w:lastRenderedPageBreak/>
              <w:t xml:space="preserve">they have an appropriate methodology to model and communicate the impacts of risks crystallising in one entity on other entities within the group, </w:t>
            </w:r>
            <w:proofErr w:type="gramStart"/>
            <w:r w:rsidRPr="005B7D90">
              <w:rPr>
                <w:rFonts w:ascii="Verdana" w:hAnsi="Verdana"/>
                <w:sz w:val="16"/>
                <w:szCs w:val="16"/>
              </w:rPr>
              <w:t>in particular where</w:t>
            </w:r>
            <w:proofErr w:type="gramEnd"/>
            <w:r w:rsidRPr="005B7D90">
              <w:rPr>
                <w:rFonts w:ascii="Verdana" w:hAnsi="Verdana"/>
                <w:sz w:val="16"/>
                <w:szCs w:val="16"/>
              </w:rPr>
              <w:t xml:space="preserve"> there would be recourse to social housing assets.</w:t>
            </w:r>
          </w:p>
        </w:tc>
        <w:tc>
          <w:tcPr>
            <w:tcW w:w="5782" w:type="dxa"/>
            <w:shd w:val="clear" w:color="auto" w:fill="auto"/>
          </w:tcPr>
          <w:p w14:paraId="287E5C02" w14:textId="682888E1" w:rsidR="00B02749" w:rsidRPr="005B7D90" w:rsidRDefault="00172454" w:rsidP="00B02749">
            <w:pPr>
              <w:pStyle w:val="CommentText"/>
              <w:rPr>
                <w:rFonts w:ascii="Verdana" w:hAnsi="Verdana"/>
                <w:sz w:val="16"/>
                <w:szCs w:val="16"/>
              </w:rPr>
            </w:pPr>
            <w:r>
              <w:rPr>
                <w:rFonts w:ascii="Verdana" w:hAnsi="Verdana"/>
                <w:sz w:val="16"/>
                <w:szCs w:val="16"/>
              </w:rPr>
              <w:lastRenderedPageBreak/>
              <w:t xml:space="preserve">As above </w:t>
            </w:r>
          </w:p>
        </w:tc>
      </w:tr>
      <w:tr w:rsidR="00B02749" w:rsidRPr="00F15578" w14:paraId="37BDC84E" w14:textId="77777777" w:rsidTr="00B02749">
        <w:trPr>
          <w:trHeight w:val="1770"/>
          <w:tblCellSpacing w:w="11" w:type="dxa"/>
        </w:trPr>
        <w:tc>
          <w:tcPr>
            <w:tcW w:w="758" w:type="dxa"/>
            <w:shd w:val="clear" w:color="auto" w:fill="F2F2F2" w:themeFill="background1" w:themeFillShade="F2"/>
          </w:tcPr>
          <w:p w14:paraId="18FAD585" w14:textId="77777777" w:rsidR="00B02749" w:rsidRPr="00F15578" w:rsidRDefault="00B02749" w:rsidP="00B02749">
            <w:pPr>
              <w:rPr>
                <w:rFonts w:ascii="Verdana" w:hAnsi="Verdana"/>
                <w:sz w:val="16"/>
                <w:szCs w:val="16"/>
              </w:rPr>
            </w:pPr>
            <w:r w:rsidRPr="00F15578">
              <w:rPr>
                <w:rFonts w:ascii="Verdana" w:hAnsi="Verdana"/>
                <w:sz w:val="16"/>
                <w:szCs w:val="16"/>
              </w:rPr>
              <w:lastRenderedPageBreak/>
              <w:t>2.5b</w:t>
            </w:r>
          </w:p>
        </w:tc>
        <w:tc>
          <w:tcPr>
            <w:tcW w:w="4144" w:type="dxa"/>
            <w:shd w:val="clear" w:color="auto" w:fill="F2F2F2" w:themeFill="background1" w:themeFillShade="F2"/>
          </w:tcPr>
          <w:p w14:paraId="69DDFE12" w14:textId="77777777" w:rsidR="00B02749" w:rsidRPr="00F15578" w:rsidRDefault="00B02749" w:rsidP="00B02749">
            <w:pPr>
              <w:spacing w:line="276" w:lineRule="auto"/>
              <w:rPr>
                <w:rFonts w:ascii="Verdana" w:hAnsi="Verdana"/>
                <w:sz w:val="16"/>
                <w:szCs w:val="16"/>
              </w:rPr>
            </w:pPr>
            <w:r w:rsidRPr="00F15578">
              <w:rPr>
                <w:rFonts w:ascii="Verdana" w:hAnsi="Verdana"/>
                <w:sz w:val="16"/>
                <w:szCs w:val="16"/>
              </w:rPr>
              <w:t xml:space="preserve">Registered providers shall do so by carrying out </w:t>
            </w:r>
            <w:r w:rsidRPr="00F15578">
              <w:rPr>
                <w:rFonts w:ascii="Verdana" w:hAnsi="Verdana"/>
                <w:b/>
                <w:sz w:val="16"/>
                <w:szCs w:val="16"/>
              </w:rPr>
              <w:t>detailed and robust stress testing against identified risks</w:t>
            </w:r>
            <w:r w:rsidRPr="00F15578">
              <w:rPr>
                <w:rFonts w:ascii="Verdana" w:hAnsi="Verdana"/>
                <w:sz w:val="16"/>
                <w:szCs w:val="16"/>
              </w:rPr>
              <w:t xml:space="preserve"> and combinations of risks across a range of scenarios and putting appropriate mitigation strategies in place as a result.</w:t>
            </w:r>
          </w:p>
          <w:p w14:paraId="0468DF92" w14:textId="77777777" w:rsidR="00B02749" w:rsidRPr="00F15578" w:rsidRDefault="00B02749" w:rsidP="00B02749">
            <w:pPr>
              <w:rPr>
                <w:rFonts w:ascii="Verdana" w:hAnsi="Verdana"/>
                <w:sz w:val="16"/>
                <w:szCs w:val="16"/>
              </w:rPr>
            </w:pPr>
          </w:p>
        </w:tc>
        <w:tc>
          <w:tcPr>
            <w:tcW w:w="4797" w:type="dxa"/>
            <w:shd w:val="clear" w:color="auto" w:fill="auto"/>
          </w:tcPr>
          <w:p w14:paraId="46558E26" w14:textId="77777777" w:rsidR="00B02749" w:rsidRPr="00E81168" w:rsidRDefault="00B02749" w:rsidP="00B02749">
            <w:pPr>
              <w:pStyle w:val="Default"/>
              <w:spacing w:line="276" w:lineRule="auto"/>
              <w:rPr>
                <w:rFonts w:ascii="Verdana" w:hAnsi="Verdana"/>
                <w:color w:val="auto"/>
                <w:sz w:val="16"/>
                <w:szCs w:val="16"/>
              </w:rPr>
            </w:pPr>
            <w:r w:rsidRPr="00E81168">
              <w:rPr>
                <w:rFonts w:ascii="Verdana" w:hAnsi="Verdana"/>
                <w:color w:val="auto"/>
                <w:sz w:val="16"/>
                <w:szCs w:val="16"/>
              </w:rPr>
              <w:t xml:space="preserve">35) The regulator expects registered providers, as part of their risk management approach, to stress test their plans against different scenarios across the whole group. The scenarios used will vary according to the size, </w:t>
            </w:r>
            <w:proofErr w:type="gramStart"/>
            <w:r w:rsidRPr="00E81168">
              <w:rPr>
                <w:rFonts w:ascii="Verdana" w:hAnsi="Verdana"/>
                <w:color w:val="auto"/>
                <w:sz w:val="16"/>
                <w:szCs w:val="16"/>
              </w:rPr>
              <w:t>type</w:t>
            </w:r>
            <w:proofErr w:type="gramEnd"/>
            <w:r w:rsidRPr="00E81168">
              <w:rPr>
                <w:rFonts w:ascii="Verdana" w:hAnsi="Verdana"/>
                <w:color w:val="auto"/>
                <w:sz w:val="16"/>
                <w:szCs w:val="16"/>
              </w:rPr>
              <w:t xml:space="preserve"> and structure of the organisation. Registered providers should go beyond simple sensitivity testing and include multi-variate analysis, which tests against potential serious economic and business risks. Registered providers should explore those conditions, which could lead to failure of the business, even if planned mitigations and controls are successfully implemented. They should assure themselves that the scenarios are consistent with what they consider to be acceptable levels of risk and their obligations. Stress testing should employ scenarios that are designed to assess resilience. </w:t>
            </w:r>
          </w:p>
          <w:p w14:paraId="5B3B24CA" w14:textId="77777777" w:rsidR="00B02749" w:rsidRPr="00E81168" w:rsidRDefault="00B02749" w:rsidP="00B02749">
            <w:pPr>
              <w:pStyle w:val="Default"/>
              <w:spacing w:line="276" w:lineRule="auto"/>
              <w:rPr>
                <w:rFonts w:ascii="Verdana" w:hAnsi="Verdana"/>
                <w:color w:val="auto"/>
                <w:sz w:val="16"/>
                <w:szCs w:val="16"/>
              </w:rPr>
            </w:pPr>
          </w:p>
          <w:p w14:paraId="06FF432F" w14:textId="77777777" w:rsidR="00B02749" w:rsidRPr="00E81168" w:rsidRDefault="00B02749" w:rsidP="00B02749">
            <w:pPr>
              <w:pStyle w:val="Default"/>
              <w:spacing w:line="276" w:lineRule="auto"/>
              <w:rPr>
                <w:rFonts w:ascii="Verdana" w:hAnsi="Verdana"/>
                <w:color w:val="auto"/>
                <w:sz w:val="16"/>
                <w:szCs w:val="16"/>
              </w:rPr>
            </w:pPr>
            <w:r w:rsidRPr="00E81168">
              <w:rPr>
                <w:rFonts w:ascii="Verdana" w:hAnsi="Verdana"/>
                <w:color w:val="auto"/>
                <w:sz w:val="16"/>
                <w:szCs w:val="16"/>
              </w:rPr>
              <w:t xml:space="preserve">36) In designing the stress testing, boards should consider both the long term, cyclical nature of economic factors that impact on the business as well as internal business risks. </w:t>
            </w:r>
          </w:p>
          <w:p w14:paraId="7BA77EE6" w14:textId="77777777" w:rsidR="00B02749" w:rsidRPr="00E81168" w:rsidRDefault="00B02749" w:rsidP="00B02749">
            <w:pPr>
              <w:pStyle w:val="Default"/>
              <w:spacing w:line="276" w:lineRule="auto"/>
              <w:rPr>
                <w:rFonts w:ascii="Verdana" w:hAnsi="Verdana"/>
                <w:color w:val="auto"/>
                <w:sz w:val="16"/>
                <w:szCs w:val="16"/>
              </w:rPr>
            </w:pPr>
            <w:r w:rsidRPr="00E81168">
              <w:rPr>
                <w:rFonts w:ascii="Verdana" w:hAnsi="Verdana"/>
                <w:color w:val="auto"/>
                <w:sz w:val="16"/>
                <w:szCs w:val="16"/>
              </w:rPr>
              <w:t xml:space="preserve">37) Managing and addressing risk should involve developing plausible scenarios that test the business plan against adverse movements in the operating environment. Doing so will help underpin boards’ understanding of where the risks lie and inform their consideration and planning for remedial action if the risks crystallise either singly or in combinations. Registered providers should consider the implications of this stress testing for its existing business including how the business may need to respond, whether business streams may need to be altered or stopped, whether it has sufficient headroom, what controls they have in place and how those controls are implemented. </w:t>
            </w:r>
          </w:p>
          <w:p w14:paraId="63BC40D4" w14:textId="77777777" w:rsidR="00B02749" w:rsidRPr="00F15578" w:rsidRDefault="00B02749" w:rsidP="00B02749">
            <w:pPr>
              <w:rPr>
                <w:rFonts w:ascii="Verdana" w:hAnsi="Verdana"/>
                <w:sz w:val="16"/>
                <w:szCs w:val="16"/>
              </w:rPr>
            </w:pPr>
            <w:r w:rsidRPr="00E81168">
              <w:rPr>
                <w:rFonts w:ascii="Verdana" w:hAnsi="Verdana"/>
                <w:sz w:val="16"/>
                <w:szCs w:val="16"/>
              </w:rPr>
              <w:t xml:space="preserve">38) As long-term businesses, registered providers need to ensure that they can withstand the long-term cycles in the economy and that short term decisions do not constrain their ability to cope with risk. This does not </w:t>
            </w:r>
            <w:r w:rsidRPr="00E81168">
              <w:rPr>
                <w:rFonts w:ascii="Verdana" w:hAnsi="Verdana"/>
                <w:sz w:val="16"/>
                <w:szCs w:val="16"/>
              </w:rPr>
              <w:lastRenderedPageBreak/>
              <w:t>prevent registered providers from taking on measured risk to deliver their objectives. It means that when taking on risks, boards should fully understand the impact on their business in the round, as well as on their social housing assets. Boards should have appropriate mitigations and controls in place as well as a strategy to protect those assets during the long term.</w:t>
            </w:r>
          </w:p>
        </w:tc>
        <w:tc>
          <w:tcPr>
            <w:tcW w:w="5782" w:type="dxa"/>
            <w:shd w:val="clear" w:color="auto" w:fill="auto"/>
          </w:tcPr>
          <w:p w14:paraId="157800A7" w14:textId="2C4D9561" w:rsidR="00B02749" w:rsidRPr="00580865" w:rsidRDefault="00172454" w:rsidP="00B02749">
            <w:pPr>
              <w:rPr>
                <w:rFonts w:ascii="Verdana" w:hAnsi="Verdana"/>
                <w:sz w:val="16"/>
                <w:szCs w:val="16"/>
              </w:rPr>
            </w:pPr>
            <w:r>
              <w:rPr>
                <w:rFonts w:ascii="Verdana" w:hAnsi="Verdana"/>
                <w:sz w:val="16"/>
                <w:szCs w:val="16"/>
              </w:rPr>
              <w:lastRenderedPageBreak/>
              <w:t xml:space="preserve">As above </w:t>
            </w:r>
          </w:p>
        </w:tc>
      </w:tr>
      <w:tr w:rsidR="00B02749" w:rsidRPr="00F15578" w14:paraId="6CDC9C17" w14:textId="77777777" w:rsidTr="00B02749">
        <w:trPr>
          <w:trHeight w:val="1315"/>
          <w:tblCellSpacing w:w="11" w:type="dxa"/>
        </w:trPr>
        <w:tc>
          <w:tcPr>
            <w:tcW w:w="758" w:type="dxa"/>
            <w:shd w:val="clear" w:color="auto" w:fill="F2F2F2" w:themeFill="background1" w:themeFillShade="F2"/>
          </w:tcPr>
          <w:p w14:paraId="06BA36AD" w14:textId="77777777" w:rsidR="00B02749" w:rsidRPr="00F15578" w:rsidRDefault="00B02749" w:rsidP="00B02749">
            <w:pPr>
              <w:rPr>
                <w:rFonts w:ascii="Verdana" w:hAnsi="Verdana"/>
                <w:sz w:val="16"/>
                <w:szCs w:val="16"/>
              </w:rPr>
            </w:pPr>
            <w:r w:rsidRPr="00F15578">
              <w:rPr>
                <w:rFonts w:ascii="Verdana" w:hAnsi="Verdana"/>
                <w:sz w:val="16"/>
                <w:szCs w:val="16"/>
              </w:rPr>
              <w:t>2.5c</w:t>
            </w:r>
          </w:p>
        </w:tc>
        <w:tc>
          <w:tcPr>
            <w:tcW w:w="4144" w:type="dxa"/>
            <w:shd w:val="clear" w:color="auto" w:fill="F2F2F2" w:themeFill="background1" w:themeFillShade="F2"/>
          </w:tcPr>
          <w:p w14:paraId="30D03243" w14:textId="77777777" w:rsidR="00B02749" w:rsidRPr="00F15578" w:rsidRDefault="00B02749" w:rsidP="00B02749">
            <w:pPr>
              <w:spacing w:line="276" w:lineRule="auto"/>
              <w:rPr>
                <w:rFonts w:ascii="Verdana" w:hAnsi="Verdana"/>
                <w:sz w:val="16"/>
                <w:szCs w:val="16"/>
              </w:rPr>
            </w:pPr>
            <w:r w:rsidRPr="00F15578">
              <w:rPr>
                <w:rFonts w:ascii="Verdana" w:hAnsi="Verdana"/>
                <w:sz w:val="16"/>
                <w:szCs w:val="16"/>
              </w:rPr>
              <w:t>Registered providers shall do so by before taking on new liabilities, ensuring that they</w:t>
            </w:r>
            <w:r w:rsidRPr="00F15578">
              <w:rPr>
                <w:rFonts w:ascii="Verdana" w:hAnsi="Verdana"/>
                <w:b/>
                <w:sz w:val="16"/>
                <w:szCs w:val="16"/>
              </w:rPr>
              <w:t xml:space="preserve"> understand and manage the likely impact on current and future business and regulatory compliance.</w:t>
            </w:r>
          </w:p>
          <w:p w14:paraId="3E24FCA5" w14:textId="77777777" w:rsidR="00B02749" w:rsidRPr="00F15578" w:rsidRDefault="00B02749" w:rsidP="00B02749">
            <w:pPr>
              <w:rPr>
                <w:rFonts w:ascii="Verdana" w:hAnsi="Verdana"/>
                <w:sz w:val="16"/>
                <w:szCs w:val="16"/>
              </w:rPr>
            </w:pPr>
          </w:p>
        </w:tc>
        <w:tc>
          <w:tcPr>
            <w:tcW w:w="4797" w:type="dxa"/>
            <w:shd w:val="clear" w:color="auto" w:fill="auto"/>
          </w:tcPr>
          <w:p w14:paraId="2BFD2AA6" w14:textId="57F21689" w:rsidR="00B02749" w:rsidRPr="00F15578" w:rsidRDefault="00B02749" w:rsidP="00B02749">
            <w:pPr>
              <w:rPr>
                <w:rFonts w:ascii="Verdana" w:hAnsi="Verdana"/>
                <w:sz w:val="16"/>
                <w:szCs w:val="16"/>
              </w:rPr>
            </w:pPr>
            <w:r>
              <w:rPr>
                <w:rFonts w:ascii="Verdana" w:hAnsi="Verdana"/>
                <w:sz w:val="16"/>
                <w:szCs w:val="16"/>
              </w:rPr>
              <w:t>n/a</w:t>
            </w:r>
          </w:p>
        </w:tc>
        <w:tc>
          <w:tcPr>
            <w:tcW w:w="5782" w:type="dxa"/>
            <w:shd w:val="clear" w:color="auto" w:fill="auto"/>
          </w:tcPr>
          <w:p w14:paraId="39898C6A" w14:textId="156411D7" w:rsidR="00B02749" w:rsidRPr="00DC0243" w:rsidRDefault="00172454" w:rsidP="00B02749">
            <w:pPr>
              <w:rPr>
                <w:rFonts w:ascii="Verdana" w:hAnsi="Verdana"/>
                <w:sz w:val="16"/>
                <w:szCs w:val="16"/>
              </w:rPr>
            </w:pPr>
            <w:r>
              <w:rPr>
                <w:rFonts w:ascii="Verdana" w:hAnsi="Verdana"/>
                <w:sz w:val="16"/>
                <w:szCs w:val="16"/>
              </w:rPr>
              <w:t xml:space="preserve">As above </w:t>
            </w:r>
          </w:p>
        </w:tc>
      </w:tr>
      <w:tr w:rsidR="00B02749" w:rsidRPr="00F15578" w14:paraId="4AD27035" w14:textId="77777777" w:rsidTr="00B02749">
        <w:trPr>
          <w:trHeight w:val="723"/>
          <w:tblCellSpacing w:w="11" w:type="dxa"/>
        </w:trPr>
        <w:tc>
          <w:tcPr>
            <w:tcW w:w="758" w:type="dxa"/>
            <w:shd w:val="clear" w:color="auto" w:fill="F2F2F2" w:themeFill="background1" w:themeFillShade="F2"/>
          </w:tcPr>
          <w:p w14:paraId="665D1989" w14:textId="77777777" w:rsidR="00B02749" w:rsidRPr="00F15578" w:rsidRDefault="00B02749" w:rsidP="00B02749">
            <w:pPr>
              <w:rPr>
                <w:rFonts w:ascii="Verdana" w:hAnsi="Verdana"/>
                <w:sz w:val="16"/>
                <w:szCs w:val="16"/>
              </w:rPr>
            </w:pPr>
            <w:r w:rsidRPr="00F15578">
              <w:rPr>
                <w:rFonts w:ascii="Verdana" w:hAnsi="Verdana"/>
                <w:sz w:val="16"/>
                <w:szCs w:val="16"/>
              </w:rPr>
              <w:t>2.6</w:t>
            </w:r>
          </w:p>
        </w:tc>
        <w:tc>
          <w:tcPr>
            <w:tcW w:w="4144" w:type="dxa"/>
            <w:shd w:val="clear" w:color="auto" w:fill="F2F2F2" w:themeFill="background1" w:themeFillShade="F2"/>
          </w:tcPr>
          <w:p w14:paraId="1CA98E4A" w14:textId="77777777" w:rsidR="00B02749" w:rsidRPr="00F15578" w:rsidRDefault="00B02749" w:rsidP="00B02749">
            <w:pPr>
              <w:spacing w:line="276" w:lineRule="auto"/>
              <w:rPr>
                <w:rFonts w:ascii="Verdana" w:hAnsi="Verdana"/>
                <w:sz w:val="16"/>
                <w:szCs w:val="16"/>
              </w:rPr>
            </w:pPr>
            <w:r w:rsidRPr="00F15578">
              <w:rPr>
                <w:rFonts w:ascii="Verdana" w:hAnsi="Verdana"/>
                <w:sz w:val="16"/>
                <w:szCs w:val="16"/>
              </w:rPr>
              <w:t xml:space="preserve">Registered providers shall ensure that any </w:t>
            </w:r>
            <w:r w:rsidRPr="00F15578">
              <w:rPr>
                <w:rFonts w:ascii="Verdana" w:hAnsi="Verdana"/>
                <w:b/>
                <w:sz w:val="16"/>
                <w:szCs w:val="16"/>
              </w:rPr>
              <w:t xml:space="preserve">arrangements they enter into do not inappropriately advance the interests of third </w:t>
            </w:r>
            <w:proofErr w:type="gramStart"/>
            <w:r w:rsidRPr="00F15578">
              <w:rPr>
                <w:rFonts w:ascii="Verdana" w:hAnsi="Verdana"/>
                <w:b/>
                <w:sz w:val="16"/>
                <w:szCs w:val="16"/>
              </w:rPr>
              <w:t>parties</w:t>
            </w:r>
            <w:r w:rsidRPr="00F15578">
              <w:rPr>
                <w:rFonts w:ascii="Verdana" w:hAnsi="Verdana"/>
                <w:sz w:val="16"/>
                <w:szCs w:val="16"/>
              </w:rPr>
              <w:t>, or</w:t>
            </w:r>
            <w:proofErr w:type="gramEnd"/>
            <w:r w:rsidRPr="00F15578">
              <w:rPr>
                <w:rFonts w:ascii="Verdana" w:hAnsi="Verdana"/>
                <w:sz w:val="16"/>
                <w:szCs w:val="16"/>
              </w:rPr>
              <w:t xml:space="preserve"> are arrangements which the regulator could reasonably assume were for such purposes.</w:t>
            </w:r>
          </w:p>
          <w:p w14:paraId="2FC4677A" w14:textId="77777777" w:rsidR="00B02749" w:rsidRPr="00F15578" w:rsidRDefault="00B02749" w:rsidP="00B02749">
            <w:pPr>
              <w:rPr>
                <w:rFonts w:ascii="Verdana" w:hAnsi="Verdana"/>
                <w:sz w:val="16"/>
                <w:szCs w:val="16"/>
              </w:rPr>
            </w:pPr>
          </w:p>
        </w:tc>
        <w:tc>
          <w:tcPr>
            <w:tcW w:w="4797" w:type="dxa"/>
            <w:shd w:val="clear" w:color="auto" w:fill="auto"/>
          </w:tcPr>
          <w:p w14:paraId="1CC28ECF" w14:textId="77777777" w:rsidR="00B02749" w:rsidRPr="00E81168" w:rsidRDefault="00B02749" w:rsidP="00B02749">
            <w:pPr>
              <w:pStyle w:val="Default"/>
              <w:spacing w:line="276" w:lineRule="auto"/>
              <w:rPr>
                <w:rFonts w:ascii="Verdana" w:hAnsi="Verdana"/>
                <w:color w:val="auto"/>
                <w:sz w:val="16"/>
                <w:szCs w:val="16"/>
              </w:rPr>
            </w:pPr>
            <w:r w:rsidRPr="00E81168">
              <w:rPr>
                <w:rFonts w:ascii="Verdana" w:hAnsi="Verdana"/>
                <w:color w:val="auto"/>
                <w:sz w:val="16"/>
                <w:szCs w:val="16"/>
              </w:rPr>
              <w:t xml:space="preserve">40) Registered providers should act in good faith appropriately advancing their own interests and those of their tenants. The focus here is on transactions which, for example, over-price services received so the contractor receives an inflated price or, where services are given without a suitable charge being levied. </w:t>
            </w:r>
          </w:p>
          <w:p w14:paraId="6EED6CB8" w14:textId="77777777" w:rsidR="00B02749" w:rsidRPr="00E81168" w:rsidRDefault="00B02749" w:rsidP="00B02749">
            <w:pPr>
              <w:pStyle w:val="Default"/>
              <w:spacing w:line="276" w:lineRule="auto"/>
              <w:rPr>
                <w:rFonts w:ascii="Verdana" w:hAnsi="Verdana"/>
                <w:color w:val="auto"/>
                <w:sz w:val="16"/>
                <w:szCs w:val="16"/>
              </w:rPr>
            </w:pPr>
          </w:p>
          <w:p w14:paraId="2570C0A9" w14:textId="77777777" w:rsidR="00B02749" w:rsidRPr="00E81168" w:rsidRDefault="00B02749" w:rsidP="00B02749">
            <w:pPr>
              <w:pStyle w:val="Default"/>
              <w:spacing w:line="276" w:lineRule="auto"/>
              <w:rPr>
                <w:rFonts w:ascii="Verdana" w:hAnsi="Verdana"/>
                <w:color w:val="auto"/>
                <w:sz w:val="16"/>
                <w:szCs w:val="16"/>
              </w:rPr>
            </w:pPr>
            <w:r w:rsidRPr="00E81168">
              <w:rPr>
                <w:rFonts w:ascii="Verdana" w:hAnsi="Verdana"/>
                <w:color w:val="auto"/>
                <w:sz w:val="16"/>
                <w:szCs w:val="16"/>
              </w:rPr>
              <w:t xml:space="preserve">41) For the avoidance of doubt, the regulator does not intend </w:t>
            </w:r>
            <w:proofErr w:type="gramStart"/>
            <w:r w:rsidRPr="00E81168">
              <w:rPr>
                <w:rFonts w:ascii="Verdana" w:hAnsi="Verdana"/>
                <w:color w:val="auto"/>
                <w:sz w:val="16"/>
                <w:szCs w:val="16"/>
              </w:rPr>
              <w:t>that transactions</w:t>
            </w:r>
            <w:proofErr w:type="gramEnd"/>
            <w:r w:rsidRPr="00E81168">
              <w:rPr>
                <w:rFonts w:ascii="Verdana" w:hAnsi="Verdana"/>
                <w:color w:val="auto"/>
                <w:sz w:val="16"/>
                <w:szCs w:val="16"/>
              </w:rPr>
              <w:t xml:space="preserve"> undertaken to promote charitable or social objectives, nor appropriate dividend payments by profit making registered providers will be caught by this expectation. </w:t>
            </w:r>
          </w:p>
          <w:p w14:paraId="719BE9EF" w14:textId="77777777" w:rsidR="00B02749" w:rsidRPr="00E81168" w:rsidRDefault="00B02749" w:rsidP="00B02749">
            <w:pPr>
              <w:pStyle w:val="Default"/>
              <w:spacing w:line="276" w:lineRule="auto"/>
              <w:rPr>
                <w:rFonts w:ascii="Verdana" w:hAnsi="Verdana"/>
                <w:color w:val="auto"/>
                <w:sz w:val="16"/>
                <w:szCs w:val="16"/>
              </w:rPr>
            </w:pPr>
          </w:p>
          <w:p w14:paraId="056A6E2A" w14:textId="77777777" w:rsidR="00B02749" w:rsidRPr="00E81168" w:rsidRDefault="00B02749" w:rsidP="00B02749">
            <w:pPr>
              <w:pStyle w:val="Default"/>
              <w:spacing w:line="276" w:lineRule="auto"/>
              <w:rPr>
                <w:rFonts w:ascii="Verdana" w:hAnsi="Verdana"/>
                <w:color w:val="auto"/>
                <w:sz w:val="16"/>
                <w:szCs w:val="16"/>
              </w:rPr>
            </w:pPr>
            <w:r w:rsidRPr="00E81168">
              <w:rPr>
                <w:rFonts w:ascii="Verdana" w:hAnsi="Verdana"/>
                <w:color w:val="auto"/>
                <w:sz w:val="16"/>
                <w:szCs w:val="16"/>
              </w:rPr>
              <w:t xml:space="preserve">42) Where there are conflicts or perceived conflicts of interest, registered providers should clearly set out how they effectively manage these. They should ensure that, for example, parent companies, other entities or individuals who have control or influence (or whom the regulator reasonably believes has such control or influence) cannot or do not exert influence which would have a damaging effect on the registered provider or its compliance with standards. This could be, for example, charging unfavourable prices for the provision of services. </w:t>
            </w:r>
          </w:p>
          <w:p w14:paraId="5F10E9F1" w14:textId="77777777" w:rsidR="00B02749" w:rsidRPr="00E81168" w:rsidRDefault="00B02749" w:rsidP="00B02749">
            <w:pPr>
              <w:pStyle w:val="Default"/>
              <w:spacing w:line="276" w:lineRule="auto"/>
              <w:rPr>
                <w:rFonts w:ascii="Verdana" w:hAnsi="Verdana"/>
                <w:color w:val="auto"/>
                <w:sz w:val="16"/>
                <w:szCs w:val="16"/>
              </w:rPr>
            </w:pPr>
          </w:p>
          <w:p w14:paraId="26EBB498" w14:textId="77777777" w:rsidR="00B02749" w:rsidRPr="00E81168" w:rsidRDefault="00B02749" w:rsidP="00B02749">
            <w:pPr>
              <w:spacing w:line="276" w:lineRule="auto"/>
              <w:rPr>
                <w:rFonts w:ascii="Verdana" w:hAnsi="Verdana"/>
                <w:sz w:val="16"/>
                <w:szCs w:val="16"/>
              </w:rPr>
            </w:pPr>
            <w:r w:rsidRPr="00E81168">
              <w:rPr>
                <w:rFonts w:ascii="Verdana" w:hAnsi="Verdana"/>
                <w:sz w:val="16"/>
                <w:szCs w:val="16"/>
              </w:rPr>
              <w:t xml:space="preserve">43) Third parties are any person or body which is not the registered provider. This includes, for example, directors and board members and may also include </w:t>
            </w:r>
            <w:r w:rsidRPr="00E81168">
              <w:rPr>
                <w:rFonts w:ascii="Verdana" w:hAnsi="Verdana"/>
                <w:sz w:val="16"/>
                <w:szCs w:val="16"/>
              </w:rPr>
              <w:lastRenderedPageBreak/>
              <w:t>individuals or organisations that have close links to the registered provider.</w:t>
            </w:r>
          </w:p>
          <w:p w14:paraId="3B7BF03A" w14:textId="77777777" w:rsidR="00B02749" w:rsidRPr="00F80DB8" w:rsidRDefault="00B02749" w:rsidP="00B02749">
            <w:pPr>
              <w:rPr>
                <w:rFonts w:ascii="Verdana" w:hAnsi="Verdana"/>
                <w:sz w:val="8"/>
                <w:szCs w:val="16"/>
              </w:rPr>
            </w:pPr>
          </w:p>
        </w:tc>
        <w:tc>
          <w:tcPr>
            <w:tcW w:w="5782" w:type="dxa"/>
            <w:shd w:val="clear" w:color="auto" w:fill="auto"/>
          </w:tcPr>
          <w:p w14:paraId="637CEE64" w14:textId="3BE4AB01" w:rsidR="00B02749" w:rsidRPr="00DD21D1" w:rsidRDefault="00B02749" w:rsidP="00B02749">
            <w:pPr>
              <w:rPr>
                <w:rFonts w:ascii="Verdana" w:hAnsi="Verdana"/>
                <w:sz w:val="16"/>
                <w:szCs w:val="16"/>
              </w:rPr>
            </w:pPr>
          </w:p>
        </w:tc>
      </w:tr>
      <w:tr w:rsidR="00B02749" w:rsidRPr="00F15578" w14:paraId="52484A6E" w14:textId="77777777" w:rsidTr="00B02749">
        <w:trPr>
          <w:trHeight w:val="1359"/>
          <w:tblCellSpacing w:w="11" w:type="dxa"/>
        </w:trPr>
        <w:tc>
          <w:tcPr>
            <w:tcW w:w="758" w:type="dxa"/>
            <w:shd w:val="clear" w:color="auto" w:fill="F2F2F2" w:themeFill="background1" w:themeFillShade="F2"/>
          </w:tcPr>
          <w:p w14:paraId="06278117" w14:textId="77777777" w:rsidR="00B02749" w:rsidRPr="00F15578" w:rsidRDefault="00B02749" w:rsidP="00B02749">
            <w:pPr>
              <w:rPr>
                <w:rFonts w:ascii="Verdana" w:hAnsi="Verdana"/>
                <w:sz w:val="16"/>
                <w:szCs w:val="16"/>
              </w:rPr>
            </w:pPr>
            <w:r w:rsidRPr="00F15578">
              <w:rPr>
                <w:rFonts w:ascii="Verdana" w:hAnsi="Verdana"/>
                <w:sz w:val="16"/>
                <w:szCs w:val="16"/>
              </w:rPr>
              <w:t>2.7</w:t>
            </w:r>
          </w:p>
        </w:tc>
        <w:tc>
          <w:tcPr>
            <w:tcW w:w="4144" w:type="dxa"/>
            <w:shd w:val="clear" w:color="auto" w:fill="F2F2F2" w:themeFill="background1" w:themeFillShade="F2"/>
          </w:tcPr>
          <w:p w14:paraId="34900F0C" w14:textId="77777777" w:rsidR="00B02749" w:rsidRPr="00F15578" w:rsidRDefault="00B02749" w:rsidP="00B02749">
            <w:pPr>
              <w:spacing w:line="276" w:lineRule="auto"/>
              <w:rPr>
                <w:rFonts w:ascii="Verdana" w:hAnsi="Verdana"/>
                <w:sz w:val="16"/>
                <w:szCs w:val="16"/>
              </w:rPr>
            </w:pPr>
            <w:r w:rsidRPr="00F15578">
              <w:rPr>
                <w:rFonts w:ascii="Verdana" w:hAnsi="Verdana"/>
                <w:sz w:val="16"/>
                <w:szCs w:val="16"/>
              </w:rPr>
              <w:t xml:space="preserve">Registered providers shall </w:t>
            </w:r>
            <w:r w:rsidRPr="00F15578">
              <w:rPr>
                <w:rFonts w:ascii="Verdana" w:hAnsi="Verdana"/>
                <w:b/>
                <w:sz w:val="16"/>
                <w:szCs w:val="16"/>
              </w:rPr>
              <w:t>communicate with the regulator in an accurate and timely manner</w:t>
            </w:r>
            <w:r w:rsidRPr="00F15578">
              <w:rPr>
                <w:rFonts w:ascii="Verdana" w:hAnsi="Verdana"/>
                <w:sz w:val="16"/>
                <w:szCs w:val="16"/>
              </w:rPr>
              <w:t>. This includes returns to the regulator, including an annual report on any losses from fraudulent activity, in a form determined by the regulator.</w:t>
            </w:r>
          </w:p>
          <w:p w14:paraId="159E01F9" w14:textId="77777777" w:rsidR="00B02749" w:rsidRPr="00F15578" w:rsidRDefault="00B02749" w:rsidP="00B02749">
            <w:pPr>
              <w:rPr>
                <w:rFonts w:ascii="Verdana" w:hAnsi="Verdana"/>
                <w:sz w:val="16"/>
                <w:szCs w:val="16"/>
              </w:rPr>
            </w:pPr>
          </w:p>
        </w:tc>
        <w:tc>
          <w:tcPr>
            <w:tcW w:w="4797" w:type="dxa"/>
            <w:shd w:val="clear" w:color="auto" w:fill="auto"/>
          </w:tcPr>
          <w:p w14:paraId="69BE734A" w14:textId="77777777" w:rsidR="00B02749" w:rsidRPr="00DD21D1" w:rsidRDefault="00B02749" w:rsidP="00B02749">
            <w:pPr>
              <w:rPr>
                <w:rFonts w:ascii="Verdana" w:hAnsi="Verdana"/>
                <w:sz w:val="16"/>
                <w:szCs w:val="16"/>
              </w:rPr>
            </w:pPr>
            <w:r w:rsidRPr="00DD21D1">
              <w:rPr>
                <w:rFonts w:ascii="Verdana" w:hAnsi="Verdana"/>
                <w:sz w:val="16"/>
                <w:szCs w:val="16"/>
              </w:rPr>
              <w:t>44) The regulator requires registered providers to communicate with them in an accurate and timely manner. This includes provision of information, for example data returns. The regulator will clearly articulate its requirements for regulatory returns to the sector and, where appropriate, will consult on these. It is the responsibility of registered providers to ensure that they submit required data returns in a timely manner and the information provided is of a good quality. This includes for example ensuring that returns such as the Financial Forecast Return are fully complete with no missing information, that the data is accurate and submitted by the deadline required. It is not the regulator’s role to correct or fill in incorrect or missing data and we will view such returns as evidence of a weak control environment.</w:t>
            </w:r>
          </w:p>
        </w:tc>
        <w:tc>
          <w:tcPr>
            <w:tcW w:w="5782" w:type="dxa"/>
            <w:shd w:val="clear" w:color="auto" w:fill="auto"/>
          </w:tcPr>
          <w:p w14:paraId="27B12795" w14:textId="77777777" w:rsidR="00B02749" w:rsidRPr="00E12051" w:rsidRDefault="00B02749" w:rsidP="00B02749">
            <w:pPr>
              <w:rPr>
                <w:rFonts w:ascii="Verdana" w:hAnsi="Verdana"/>
                <w:sz w:val="16"/>
                <w:szCs w:val="16"/>
              </w:rPr>
            </w:pPr>
          </w:p>
        </w:tc>
      </w:tr>
      <w:tr w:rsidR="00B02749" w:rsidRPr="00F15578" w14:paraId="54CDC26A" w14:textId="77777777" w:rsidTr="00B02749">
        <w:trPr>
          <w:trHeight w:val="1148"/>
          <w:tblCellSpacing w:w="11" w:type="dxa"/>
        </w:trPr>
        <w:tc>
          <w:tcPr>
            <w:tcW w:w="758" w:type="dxa"/>
            <w:shd w:val="clear" w:color="auto" w:fill="F2F2F2" w:themeFill="background1" w:themeFillShade="F2"/>
          </w:tcPr>
          <w:p w14:paraId="3A5C4CDB" w14:textId="77777777" w:rsidR="00B02749" w:rsidRPr="00F15578" w:rsidRDefault="00B02749" w:rsidP="00B02749">
            <w:pPr>
              <w:rPr>
                <w:rFonts w:ascii="Verdana" w:hAnsi="Verdana"/>
                <w:sz w:val="16"/>
                <w:szCs w:val="16"/>
              </w:rPr>
            </w:pPr>
            <w:r w:rsidRPr="00F15578">
              <w:rPr>
                <w:rFonts w:ascii="Verdana" w:hAnsi="Verdana"/>
                <w:sz w:val="16"/>
                <w:szCs w:val="16"/>
              </w:rPr>
              <w:t>2.8</w:t>
            </w:r>
          </w:p>
        </w:tc>
        <w:tc>
          <w:tcPr>
            <w:tcW w:w="4144" w:type="dxa"/>
            <w:shd w:val="clear" w:color="auto" w:fill="F2F2F2" w:themeFill="background1" w:themeFillShade="F2"/>
          </w:tcPr>
          <w:p w14:paraId="01FD40CF" w14:textId="77777777" w:rsidR="00B02749" w:rsidRPr="00F15578" w:rsidRDefault="00B02749" w:rsidP="00B02749">
            <w:pPr>
              <w:spacing w:line="276" w:lineRule="auto"/>
              <w:rPr>
                <w:rFonts w:ascii="Verdana" w:hAnsi="Verdana"/>
                <w:sz w:val="16"/>
                <w:szCs w:val="16"/>
              </w:rPr>
            </w:pPr>
            <w:r w:rsidRPr="00F15578">
              <w:rPr>
                <w:rFonts w:ascii="Verdana" w:hAnsi="Verdana"/>
                <w:sz w:val="16"/>
                <w:szCs w:val="16"/>
              </w:rPr>
              <w:t xml:space="preserve">Registered providers shall assess their compliance with the Governance and Financial Viability Standard </w:t>
            </w:r>
            <w:r w:rsidRPr="00F15578">
              <w:rPr>
                <w:rFonts w:ascii="Verdana" w:hAnsi="Verdana"/>
                <w:b/>
                <w:sz w:val="16"/>
                <w:szCs w:val="16"/>
              </w:rPr>
              <w:t>at least once a year</w:t>
            </w:r>
            <w:r w:rsidRPr="00F15578">
              <w:rPr>
                <w:rFonts w:ascii="Verdana" w:hAnsi="Verdana"/>
                <w:sz w:val="16"/>
                <w:szCs w:val="16"/>
              </w:rPr>
              <w:t>. Registered providers' boards shall certify in their annual accounts their compliance with this Governance and Financial Viability Standard.</w:t>
            </w:r>
          </w:p>
          <w:p w14:paraId="6BABF11B" w14:textId="77777777" w:rsidR="00B02749" w:rsidRPr="00F15578" w:rsidRDefault="00B02749" w:rsidP="00B02749">
            <w:pPr>
              <w:rPr>
                <w:rFonts w:ascii="Verdana" w:hAnsi="Verdana"/>
                <w:sz w:val="16"/>
                <w:szCs w:val="16"/>
              </w:rPr>
            </w:pPr>
          </w:p>
        </w:tc>
        <w:tc>
          <w:tcPr>
            <w:tcW w:w="4797" w:type="dxa"/>
          </w:tcPr>
          <w:p w14:paraId="3E4D8396" w14:textId="77777777" w:rsidR="00B02749" w:rsidRDefault="00B02749" w:rsidP="00B02749">
            <w:pPr>
              <w:rPr>
                <w:rFonts w:ascii="Verdana" w:hAnsi="Verdana"/>
                <w:sz w:val="16"/>
                <w:szCs w:val="16"/>
              </w:rPr>
            </w:pPr>
            <w:r w:rsidRPr="00E81168">
              <w:rPr>
                <w:rFonts w:ascii="Verdana" w:hAnsi="Verdana"/>
                <w:sz w:val="16"/>
                <w:szCs w:val="16"/>
              </w:rPr>
              <w:t>45) In addition to assuring themselves of compliance with standards on a yearly basis, boards need to assure themselves of their continuing compliance when taking on significant new risks. This could be, for example, when undertaking a new development or entering a major contract. Registered providers’ boards shall certify their compliance in the narrative report which accompanies their financial statements. When certifying compliance with the Standard, registered providers shall ensure that they consider compliance with regulatory standards in the round as set out in the required outcomes of the Standard.</w:t>
            </w:r>
          </w:p>
          <w:p w14:paraId="3EBDD5C1" w14:textId="77777777" w:rsidR="00B02749" w:rsidRDefault="00B02749" w:rsidP="00B02749">
            <w:pPr>
              <w:rPr>
                <w:rFonts w:ascii="Verdana" w:hAnsi="Verdana"/>
                <w:sz w:val="16"/>
                <w:szCs w:val="16"/>
              </w:rPr>
            </w:pPr>
          </w:p>
          <w:p w14:paraId="13BE12CD" w14:textId="77777777" w:rsidR="00B02749" w:rsidRDefault="00B02749" w:rsidP="00B02749">
            <w:pPr>
              <w:rPr>
                <w:rFonts w:ascii="Verdana" w:hAnsi="Verdana"/>
                <w:sz w:val="16"/>
                <w:szCs w:val="16"/>
              </w:rPr>
            </w:pPr>
          </w:p>
          <w:p w14:paraId="7DE3F319" w14:textId="77777777" w:rsidR="00B02749" w:rsidRPr="00F15578" w:rsidRDefault="00B02749" w:rsidP="00B02749">
            <w:pPr>
              <w:rPr>
                <w:rFonts w:ascii="Verdana" w:hAnsi="Verdana"/>
                <w:sz w:val="16"/>
                <w:szCs w:val="16"/>
              </w:rPr>
            </w:pPr>
          </w:p>
        </w:tc>
        <w:tc>
          <w:tcPr>
            <w:tcW w:w="5782" w:type="dxa"/>
          </w:tcPr>
          <w:p w14:paraId="2DF96CC0" w14:textId="77BD62C2" w:rsidR="00B02749" w:rsidRPr="00670680" w:rsidRDefault="00B02749" w:rsidP="00B02749">
            <w:pPr>
              <w:rPr>
                <w:rFonts w:ascii="Verdana" w:hAnsi="Verdana"/>
                <w:sz w:val="16"/>
                <w:szCs w:val="16"/>
                <w:highlight w:val="yellow"/>
              </w:rPr>
            </w:pPr>
          </w:p>
        </w:tc>
      </w:tr>
      <w:tr w:rsidR="00B02749" w:rsidRPr="00F15578" w14:paraId="630689F0" w14:textId="77777777" w:rsidTr="001052C6">
        <w:trPr>
          <w:tblCellSpacing w:w="11" w:type="dxa"/>
        </w:trPr>
        <w:tc>
          <w:tcPr>
            <w:tcW w:w="758" w:type="dxa"/>
            <w:shd w:val="clear" w:color="auto" w:fill="000000" w:themeFill="text1"/>
          </w:tcPr>
          <w:p w14:paraId="74A82CFA" w14:textId="77777777" w:rsidR="00B02749" w:rsidRPr="00F15578" w:rsidRDefault="00B02749" w:rsidP="00B02749">
            <w:pPr>
              <w:rPr>
                <w:rFonts w:ascii="Verdana" w:hAnsi="Verdana"/>
                <w:b/>
                <w:sz w:val="16"/>
                <w:szCs w:val="16"/>
              </w:rPr>
            </w:pPr>
            <w:r w:rsidRPr="00F15578">
              <w:rPr>
                <w:rFonts w:ascii="Verdana" w:hAnsi="Verdana"/>
                <w:b/>
                <w:sz w:val="16"/>
                <w:szCs w:val="16"/>
              </w:rPr>
              <w:t>3.</w:t>
            </w:r>
          </w:p>
        </w:tc>
        <w:tc>
          <w:tcPr>
            <w:tcW w:w="14767" w:type="dxa"/>
            <w:gridSpan w:val="3"/>
            <w:shd w:val="clear" w:color="auto" w:fill="000000" w:themeFill="text1"/>
            <w:vAlign w:val="center"/>
          </w:tcPr>
          <w:p w14:paraId="72D2762B" w14:textId="77777777" w:rsidR="00B02749" w:rsidRDefault="00B02749" w:rsidP="00B02749">
            <w:pPr>
              <w:rPr>
                <w:rFonts w:ascii="Verdana" w:hAnsi="Verdana"/>
                <w:b/>
                <w:sz w:val="16"/>
                <w:szCs w:val="16"/>
              </w:rPr>
            </w:pPr>
            <w:r w:rsidRPr="00D22F36">
              <w:rPr>
                <w:rFonts w:ascii="Verdana" w:hAnsi="Verdana"/>
                <w:b/>
                <w:sz w:val="16"/>
                <w:szCs w:val="16"/>
              </w:rPr>
              <w:t>Specific expectations applicable to specific categories of registered provide</w:t>
            </w:r>
            <w:r>
              <w:rPr>
                <w:rFonts w:ascii="Verdana" w:hAnsi="Verdana"/>
                <w:b/>
                <w:sz w:val="16"/>
                <w:szCs w:val="16"/>
              </w:rPr>
              <w:t>r</w:t>
            </w:r>
          </w:p>
          <w:p w14:paraId="0F0C3980" w14:textId="77777777" w:rsidR="00B02749" w:rsidRPr="00D22F36" w:rsidRDefault="00B02749" w:rsidP="00B02749">
            <w:pPr>
              <w:rPr>
                <w:rFonts w:ascii="Verdana" w:hAnsi="Verdana"/>
                <w:b/>
                <w:sz w:val="16"/>
                <w:szCs w:val="16"/>
              </w:rPr>
            </w:pPr>
          </w:p>
        </w:tc>
      </w:tr>
      <w:tr w:rsidR="00B02749" w:rsidRPr="00F15578" w14:paraId="5A6ECE5A" w14:textId="77777777" w:rsidTr="00B02749">
        <w:trPr>
          <w:trHeight w:val="581"/>
          <w:tblCellSpacing w:w="11" w:type="dxa"/>
        </w:trPr>
        <w:tc>
          <w:tcPr>
            <w:tcW w:w="758" w:type="dxa"/>
            <w:shd w:val="clear" w:color="auto" w:fill="F2F2F2" w:themeFill="background1" w:themeFillShade="F2"/>
          </w:tcPr>
          <w:p w14:paraId="0CE69D00" w14:textId="77777777" w:rsidR="00B02749" w:rsidRPr="00F15578" w:rsidRDefault="00B02749" w:rsidP="00B02749">
            <w:pPr>
              <w:rPr>
                <w:rFonts w:ascii="Verdana" w:hAnsi="Verdana"/>
                <w:sz w:val="16"/>
                <w:szCs w:val="16"/>
              </w:rPr>
            </w:pPr>
            <w:r w:rsidRPr="00E81168">
              <w:rPr>
                <w:rFonts w:ascii="Verdana" w:hAnsi="Verdana"/>
                <w:sz w:val="16"/>
                <w:szCs w:val="16"/>
              </w:rPr>
              <w:t>3.1</w:t>
            </w:r>
          </w:p>
        </w:tc>
        <w:tc>
          <w:tcPr>
            <w:tcW w:w="4144" w:type="dxa"/>
            <w:shd w:val="clear" w:color="auto" w:fill="F2F2F2" w:themeFill="background1" w:themeFillShade="F2"/>
          </w:tcPr>
          <w:p w14:paraId="0621B031" w14:textId="77777777" w:rsidR="00B02749" w:rsidRPr="00E81168" w:rsidRDefault="00B02749" w:rsidP="00B02749">
            <w:pPr>
              <w:pStyle w:val="Default"/>
              <w:spacing w:line="276" w:lineRule="auto"/>
              <w:rPr>
                <w:rFonts w:ascii="Verdana" w:hAnsi="Verdana"/>
                <w:color w:val="auto"/>
                <w:sz w:val="16"/>
                <w:szCs w:val="16"/>
                <w:u w:val="single"/>
              </w:rPr>
            </w:pPr>
            <w:r w:rsidRPr="00E81168">
              <w:rPr>
                <w:rFonts w:ascii="Verdana" w:hAnsi="Verdana"/>
                <w:b/>
                <w:bCs/>
                <w:color w:val="auto"/>
                <w:sz w:val="16"/>
                <w:szCs w:val="16"/>
                <w:u w:val="single"/>
              </w:rPr>
              <w:t xml:space="preserve">Registered group parents </w:t>
            </w:r>
          </w:p>
          <w:p w14:paraId="5570FB33" w14:textId="77777777" w:rsidR="00B02749" w:rsidRPr="00F15578" w:rsidRDefault="00B02749" w:rsidP="00B02749">
            <w:pPr>
              <w:rPr>
                <w:rFonts w:ascii="Verdana" w:hAnsi="Verdana"/>
                <w:sz w:val="16"/>
                <w:szCs w:val="16"/>
              </w:rPr>
            </w:pPr>
            <w:r w:rsidRPr="00E81168">
              <w:rPr>
                <w:rFonts w:ascii="Verdana" w:hAnsi="Verdana"/>
                <w:sz w:val="16"/>
                <w:szCs w:val="16"/>
              </w:rPr>
              <w:t xml:space="preserve">Registered providers which are parent companies shall, as appropriate, support or assist </w:t>
            </w:r>
            <w:r w:rsidRPr="00A302E4">
              <w:rPr>
                <w:rFonts w:ascii="Verdana" w:hAnsi="Verdana"/>
                <w:b/>
                <w:sz w:val="16"/>
                <w:szCs w:val="16"/>
              </w:rPr>
              <w:t>those of their subsidiaries that are registered providers</w:t>
            </w:r>
            <w:r w:rsidRPr="00E81168">
              <w:rPr>
                <w:rFonts w:ascii="Verdana" w:hAnsi="Verdana"/>
                <w:sz w:val="16"/>
                <w:szCs w:val="16"/>
              </w:rPr>
              <w:t xml:space="preserve"> with a view to ensuring compliance with regulatory requirements. </w:t>
            </w:r>
          </w:p>
        </w:tc>
        <w:tc>
          <w:tcPr>
            <w:tcW w:w="4797" w:type="dxa"/>
            <w:shd w:val="clear" w:color="auto" w:fill="auto"/>
          </w:tcPr>
          <w:p w14:paraId="6A61C498" w14:textId="5AC7C347" w:rsidR="00B02749" w:rsidRPr="00F15578" w:rsidRDefault="00B02749" w:rsidP="00B02749">
            <w:pPr>
              <w:rPr>
                <w:rFonts w:ascii="Verdana" w:hAnsi="Verdana"/>
                <w:i/>
                <w:sz w:val="16"/>
                <w:szCs w:val="16"/>
              </w:rPr>
            </w:pPr>
            <w:r>
              <w:rPr>
                <w:rFonts w:ascii="Verdana" w:hAnsi="Verdana"/>
                <w:i/>
                <w:sz w:val="16"/>
                <w:szCs w:val="16"/>
              </w:rPr>
              <w:t>n/a</w:t>
            </w:r>
          </w:p>
        </w:tc>
        <w:tc>
          <w:tcPr>
            <w:tcW w:w="5782" w:type="dxa"/>
            <w:shd w:val="clear" w:color="auto" w:fill="auto"/>
          </w:tcPr>
          <w:p w14:paraId="7130064E" w14:textId="3782A4F6" w:rsidR="00B02749" w:rsidRPr="00F15578" w:rsidRDefault="00B02749" w:rsidP="00B02749">
            <w:pPr>
              <w:rPr>
                <w:rFonts w:ascii="Verdana" w:hAnsi="Verdana"/>
                <w:sz w:val="16"/>
                <w:szCs w:val="16"/>
              </w:rPr>
            </w:pPr>
          </w:p>
        </w:tc>
      </w:tr>
      <w:tr w:rsidR="00B02749" w:rsidRPr="00F15578" w14:paraId="56ECDA50" w14:textId="77777777" w:rsidTr="00B02749">
        <w:trPr>
          <w:trHeight w:val="581"/>
          <w:tblCellSpacing w:w="11" w:type="dxa"/>
        </w:trPr>
        <w:tc>
          <w:tcPr>
            <w:tcW w:w="758" w:type="dxa"/>
            <w:shd w:val="clear" w:color="auto" w:fill="F2F2F2" w:themeFill="background1" w:themeFillShade="F2"/>
          </w:tcPr>
          <w:p w14:paraId="67EF41D0" w14:textId="77777777" w:rsidR="00B02749" w:rsidRPr="00F15578" w:rsidRDefault="00B02749" w:rsidP="00B02749">
            <w:pPr>
              <w:rPr>
                <w:rFonts w:ascii="Verdana" w:hAnsi="Verdana"/>
                <w:sz w:val="16"/>
                <w:szCs w:val="16"/>
              </w:rPr>
            </w:pPr>
            <w:r w:rsidRPr="00E81168">
              <w:rPr>
                <w:rFonts w:ascii="Verdana" w:hAnsi="Verdana"/>
                <w:sz w:val="16"/>
                <w:szCs w:val="16"/>
              </w:rPr>
              <w:t>3.2</w:t>
            </w:r>
          </w:p>
        </w:tc>
        <w:tc>
          <w:tcPr>
            <w:tcW w:w="4144" w:type="dxa"/>
            <w:shd w:val="clear" w:color="auto" w:fill="F2F2F2" w:themeFill="background1" w:themeFillShade="F2"/>
          </w:tcPr>
          <w:p w14:paraId="60BCB0B6" w14:textId="77777777" w:rsidR="00B02749" w:rsidRPr="00E81168" w:rsidRDefault="00B02749" w:rsidP="00B02749">
            <w:pPr>
              <w:pStyle w:val="Default"/>
              <w:spacing w:line="276" w:lineRule="auto"/>
              <w:rPr>
                <w:rFonts w:ascii="Verdana" w:hAnsi="Verdana"/>
                <w:color w:val="auto"/>
                <w:sz w:val="16"/>
                <w:szCs w:val="16"/>
                <w:u w:val="single"/>
              </w:rPr>
            </w:pPr>
            <w:r w:rsidRPr="00E81168">
              <w:rPr>
                <w:rFonts w:ascii="Verdana" w:hAnsi="Verdana"/>
                <w:b/>
                <w:bCs/>
                <w:color w:val="auto"/>
                <w:sz w:val="16"/>
                <w:szCs w:val="16"/>
                <w:u w:val="single"/>
              </w:rPr>
              <w:t xml:space="preserve">Registered providers with unregistered parents </w:t>
            </w:r>
          </w:p>
          <w:p w14:paraId="41D42264" w14:textId="77777777" w:rsidR="00B02749" w:rsidRPr="00E81168" w:rsidRDefault="00B02749" w:rsidP="00B02749">
            <w:pPr>
              <w:pStyle w:val="Default"/>
              <w:spacing w:line="276" w:lineRule="auto"/>
              <w:rPr>
                <w:rFonts w:ascii="Verdana" w:hAnsi="Verdana"/>
                <w:color w:val="auto"/>
                <w:sz w:val="16"/>
                <w:szCs w:val="16"/>
              </w:rPr>
            </w:pPr>
            <w:r w:rsidRPr="00E81168">
              <w:rPr>
                <w:rFonts w:ascii="Verdana" w:hAnsi="Verdana"/>
                <w:color w:val="auto"/>
                <w:sz w:val="16"/>
                <w:szCs w:val="16"/>
              </w:rPr>
              <w:t xml:space="preserve">Registered providers with parent companies who are not registered providers shall ensure </w:t>
            </w:r>
            <w:r w:rsidRPr="00E81168">
              <w:rPr>
                <w:rFonts w:ascii="Verdana" w:hAnsi="Verdana"/>
                <w:color w:val="auto"/>
                <w:sz w:val="16"/>
                <w:szCs w:val="16"/>
              </w:rPr>
              <w:lastRenderedPageBreak/>
              <w:t xml:space="preserve">that they do not enter into agreements to support the activity of the parent or another group member that may have a material negative impact on the social housing assets of the registered provider. </w:t>
            </w:r>
          </w:p>
          <w:p w14:paraId="02381BDE" w14:textId="77777777" w:rsidR="00B02749" w:rsidRPr="00F15578" w:rsidRDefault="00B02749" w:rsidP="00B02749">
            <w:pPr>
              <w:rPr>
                <w:rFonts w:ascii="Verdana" w:hAnsi="Verdana"/>
                <w:sz w:val="16"/>
                <w:szCs w:val="16"/>
              </w:rPr>
            </w:pPr>
          </w:p>
        </w:tc>
        <w:tc>
          <w:tcPr>
            <w:tcW w:w="4797" w:type="dxa"/>
            <w:shd w:val="clear" w:color="auto" w:fill="auto"/>
          </w:tcPr>
          <w:p w14:paraId="3D91B657" w14:textId="77777777" w:rsidR="00B02749" w:rsidRPr="00E81168" w:rsidRDefault="00B02749" w:rsidP="00B02749">
            <w:pPr>
              <w:pStyle w:val="Default"/>
              <w:spacing w:line="276" w:lineRule="auto"/>
              <w:rPr>
                <w:rFonts w:ascii="Verdana" w:hAnsi="Verdana"/>
                <w:color w:val="auto"/>
                <w:sz w:val="16"/>
                <w:szCs w:val="16"/>
              </w:rPr>
            </w:pPr>
            <w:r w:rsidRPr="00E81168">
              <w:rPr>
                <w:rFonts w:ascii="Verdana" w:hAnsi="Verdana"/>
                <w:color w:val="auto"/>
                <w:sz w:val="16"/>
                <w:szCs w:val="16"/>
              </w:rPr>
              <w:lastRenderedPageBreak/>
              <w:t xml:space="preserve">47) Where a registered provider has an unregistered parent, the social housing assets should not be used to support non-social housing activity in other parts of the business to the extent that it may have a material </w:t>
            </w:r>
            <w:r w:rsidRPr="00E81168">
              <w:rPr>
                <w:rFonts w:ascii="Verdana" w:hAnsi="Verdana"/>
                <w:color w:val="auto"/>
                <w:sz w:val="16"/>
                <w:szCs w:val="16"/>
              </w:rPr>
              <w:lastRenderedPageBreak/>
              <w:t xml:space="preserve">negative impact on, or material recourse to the social housing assets. The regulator would also expect the risk to the social housing assets to be low. Registered providers would not be expected to </w:t>
            </w:r>
            <w:proofErr w:type="gramStart"/>
            <w:r w:rsidRPr="00E81168">
              <w:rPr>
                <w:rFonts w:ascii="Verdana" w:hAnsi="Verdana"/>
                <w:color w:val="auto"/>
                <w:sz w:val="16"/>
                <w:szCs w:val="16"/>
              </w:rPr>
              <w:t>enter into</w:t>
            </w:r>
            <w:proofErr w:type="gramEnd"/>
            <w:r w:rsidRPr="00E81168">
              <w:rPr>
                <w:rFonts w:ascii="Verdana" w:hAnsi="Verdana"/>
                <w:color w:val="auto"/>
                <w:sz w:val="16"/>
                <w:szCs w:val="16"/>
              </w:rPr>
              <w:t xml:space="preserve">, for example: </w:t>
            </w:r>
          </w:p>
          <w:p w14:paraId="1A0D0545" w14:textId="77777777" w:rsidR="00B02749" w:rsidRPr="00E81168" w:rsidRDefault="00B02749" w:rsidP="00B02749">
            <w:pPr>
              <w:pStyle w:val="Default"/>
              <w:numPr>
                <w:ilvl w:val="0"/>
                <w:numId w:val="11"/>
              </w:numPr>
              <w:spacing w:line="276" w:lineRule="auto"/>
              <w:rPr>
                <w:rFonts w:ascii="Verdana" w:hAnsi="Verdana"/>
                <w:color w:val="auto"/>
                <w:sz w:val="16"/>
                <w:szCs w:val="16"/>
              </w:rPr>
            </w:pPr>
            <w:r w:rsidRPr="00E81168">
              <w:rPr>
                <w:rFonts w:ascii="Verdana" w:hAnsi="Verdana"/>
                <w:color w:val="auto"/>
                <w:sz w:val="16"/>
                <w:szCs w:val="16"/>
              </w:rPr>
              <w:t>formal agreements such as guarantees or cross default clauses in loan agreements</w:t>
            </w:r>
          </w:p>
          <w:p w14:paraId="008FF47F" w14:textId="77777777" w:rsidR="00B02749" w:rsidRPr="00820BC6" w:rsidRDefault="00B02749" w:rsidP="00B02749">
            <w:pPr>
              <w:pStyle w:val="Default"/>
              <w:spacing w:line="276" w:lineRule="auto"/>
              <w:rPr>
                <w:rFonts w:ascii="Verdana" w:hAnsi="Verdana"/>
                <w:color w:val="auto"/>
                <w:sz w:val="6"/>
                <w:szCs w:val="16"/>
              </w:rPr>
            </w:pPr>
          </w:p>
          <w:p w14:paraId="2DA36A1B" w14:textId="77777777" w:rsidR="00B02749" w:rsidRPr="00F15578" w:rsidRDefault="00B02749" w:rsidP="00B02749">
            <w:pPr>
              <w:pStyle w:val="ListParagraph"/>
              <w:numPr>
                <w:ilvl w:val="0"/>
                <w:numId w:val="11"/>
              </w:numPr>
              <w:spacing w:line="276" w:lineRule="auto"/>
              <w:rPr>
                <w:rFonts w:ascii="Verdana" w:hAnsi="Verdana"/>
                <w:i/>
                <w:sz w:val="16"/>
                <w:szCs w:val="16"/>
              </w:rPr>
            </w:pPr>
            <w:r w:rsidRPr="00E81168">
              <w:rPr>
                <w:rFonts w:ascii="Verdana" w:hAnsi="Verdana"/>
                <w:sz w:val="16"/>
                <w:szCs w:val="16"/>
              </w:rPr>
              <w:t>less formal or indirect arrangements such as making investments which lead to impairment, or which, in the event of insolvency, might allow recourse to the social housing assets</w:t>
            </w:r>
          </w:p>
        </w:tc>
        <w:tc>
          <w:tcPr>
            <w:tcW w:w="5782" w:type="dxa"/>
            <w:shd w:val="clear" w:color="auto" w:fill="auto"/>
          </w:tcPr>
          <w:p w14:paraId="7E567C56" w14:textId="77777777" w:rsidR="00B02749" w:rsidRPr="00F15578" w:rsidRDefault="00B02749" w:rsidP="00B02749">
            <w:pPr>
              <w:rPr>
                <w:rFonts w:ascii="Verdana" w:hAnsi="Verdana"/>
                <w:sz w:val="16"/>
                <w:szCs w:val="16"/>
              </w:rPr>
            </w:pPr>
          </w:p>
        </w:tc>
      </w:tr>
      <w:tr w:rsidR="00B02749" w:rsidRPr="00F15578" w14:paraId="6307AAEE" w14:textId="77777777" w:rsidTr="00B02749">
        <w:trPr>
          <w:trHeight w:val="934"/>
          <w:tblCellSpacing w:w="11" w:type="dxa"/>
        </w:trPr>
        <w:tc>
          <w:tcPr>
            <w:tcW w:w="758" w:type="dxa"/>
            <w:shd w:val="clear" w:color="auto" w:fill="F2F2F2" w:themeFill="background1" w:themeFillShade="F2"/>
          </w:tcPr>
          <w:p w14:paraId="57801EA1" w14:textId="77777777" w:rsidR="00B02749" w:rsidRPr="00F15578" w:rsidRDefault="00B02749" w:rsidP="00B02749">
            <w:pPr>
              <w:rPr>
                <w:rFonts w:ascii="Verdana" w:hAnsi="Verdana"/>
                <w:sz w:val="16"/>
                <w:szCs w:val="16"/>
              </w:rPr>
            </w:pPr>
            <w:r w:rsidRPr="00E81168">
              <w:rPr>
                <w:rFonts w:ascii="Verdana" w:hAnsi="Verdana"/>
                <w:sz w:val="16"/>
                <w:szCs w:val="16"/>
              </w:rPr>
              <w:t>3.3</w:t>
            </w:r>
          </w:p>
        </w:tc>
        <w:tc>
          <w:tcPr>
            <w:tcW w:w="4144" w:type="dxa"/>
            <w:shd w:val="clear" w:color="auto" w:fill="F2F2F2" w:themeFill="background1" w:themeFillShade="F2"/>
          </w:tcPr>
          <w:p w14:paraId="6923F215" w14:textId="77777777" w:rsidR="00B02749" w:rsidRPr="00E81168" w:rsidRDefault="00B02749" w:rsidP="00B02749">
            <w:pPr>
              <w:pStyle w:val="Default"/>
              <w:spacing w:line="276" w:lineRule="auto"/>
              <w:rPr>
                <w:rFonts w:ascii="Verdana" w:hAnsi="Verdana"/>
                <w:color w:val="auto"/>
                <w:sz w:val="16"/>
                <w:szCs w:val="16"/>
              </w:rPr>
            </w:pPr>
            <w:r w:rsidRPr="00E81168">
              <w:rPr>
                <w:rFonts w:ascii="Verdana" w:hAnsi="Verdana"/>
                <w:color w:val="auto"/>
                <w:sz w:val="16"/>
                <w:szCs w:val="16"/>
              </w:rPr>
              <w:t xml:space="preserve">To enable compliance with the regulator’s standards or other regulatory requirements, registered providers with parent companies that are not registered providers shall have in place effective mechanisms to ensure that: </w:t>
            </w:r>
          </w:p>
          <w:p w14:paraId="230B098A" w14:textId="77777777" w:rsidR="00B02749" w:rsidRPr="00E81168" w:rsidRDefault="00B02749" w:rsidP="00B02749">
            <w:pPr>
              <w:pStyle w:val="Default"/>
              <w:numPr>
                <w:ilvl w:val="0"/>
                <w:numId w:val="5"/>
              </w:numPr>
              <w:spacing w:line="276" w:lineRule="auto"/>
              <w:ind w:left="360"/>
              <w:rPr>
                <w:rFonts w:ascii="Verdana" w:hAnsi="Verdana"/>
                <w:color w:val="auto"/>
                <w:sz w:val="16"/>
                <w:szCs w:val="16"/>
              </w:rPr>
            </w:pPr>
            <w:r w:rsidRPr="00E81168">
              <w:rPr>
                <w:rFonts w:ascii="Verdana" w:hAnsi="Verdana"/>
                <w:color w:val="auto"/>
                <w:sz w:val="16"/>
                <w:szCs w:val="16"/>
              </w:rPr>
              <w:t xml:space="preserve">such parent companies will give any appropriate support or assistance as necessary to the registered provider </w:t>
            </w:r>
          </w:p>
          <w:p w14:paraId="7979BAE9" w14:textId="77777777" w:rsidR="00B02749" w:rsidRPr="00E81168" w:rsidRDefault="00B02749" w:rsidP="00B02749">
            <w:pPr>
              <w:pStyle w:val="Default"/>
              <w:spacing w:line="276" w:lineRule="auto"/>
              <w:rPr>
                <w:rFonts w:ascii="Verdana" w:hAnsi="Verdana"/>
                <w:color w:val="auto"/>
                <w:sz w:val="16"/>
                <w:szCs w:val="16"/>
              </w:rPr>
            </w:pPr>
          </w:p>
          <w:p w14:paraId="4E047D4C" w14:textId="77777777" w:rsidR="00B02749" w:rsidRPr="00E81168" w:rsidRDefault="00B02749" w:rsidP="00B02749">
            <w:pPr>
              <w:pStyle w:val="Default"/>
              <w:numPr>
                <w:ilvl w:val="0"/>
                <w:numId w:val="5"/>
              </w:numPr>
              <w:spacing w:line="276" w:lineRule="auto"/>
              <w:ind w:left="360"/>
              <w:rPr>
                <w:rFonts w:ascii="Verdana" w:hAnsi="Verdana"/>
                <w:color w:val="auto"/>
                <w:sz w:val="16"/>
                <w:szCs w:val="16"/>
              </w:rPr>
            </w:pPr>
            <w:r w:rsidRPr="00E81168">
              <w:rPr>
                <w:rFonts w:ascii="Verdana" w:hAnsi="Verdana"/>
                <w:color w:val="auto"/>
                <w:sz w:val="16"/>
                <w:szCs w:val="16"/>
              </w:rPr>
              <w:t xml:space="preserve">such registered providers </w:t>
            </w:r>
            <w:proofErr w:type="gramStart"/>
            <w:r w:rsidRPr="00E81168">
              <w:rPr>
                <w:rFonts w:ascii="Verdana" w:hAnsi="Verdana"/>
                <w:color w:val="auto"/>
                <w:sz w:val="16"/>
                <w:szCs w:val="16"/>
              </w:rPr>
              <w:t>have the ability to</w:t>
            </w:r>
            <w:proofErr w:type="gramEnd"/>
            <w:r w:rsidRPr="00E81168">
              <w:rPr>
                <w:rFonts w:ascii="Verdana" w:hAnsi="Verdana"/>
                <w:color w:val="auto"/>
                <w:sz w:val="16"/>
                <w:szCs w:val="16"/>
              </w:rPr>
              <w:t xml:space="preserve"> require the support or assistance of the parent company concerned </w:t>
            </w:r>
          </w:p>
          <w:p w14:paraId="1D47A1CE" w14:textId="77777777" w:rsidR="00B02749" w:rsidRPr="00E81168" w:rsidRDefault="00B02749" w:rsidP="00B02749">
            <w:pPr>
              <w:pStyle w:val="ListParagraph"/>
              <w:spacing w:line="276" w:lineRule="auto"/>
              <w:rPr>
                <w:rFonts w:ascii="Verdana" w:hAnsi="Verdana"/>
                <w:sz w:val="16"/>
                <w:szCs w:val="16"/>
              </w:rPr>
            </w:pPr>
          </w:p>
          <w:p w14:paraId="60172377" w14:textId="77777777" w:rsidR="00B02749" w:rsidRPr="00E81168" w:rsidRDefault="00B02749" w:rsidP="00B02749">
            <w:pPr>
              <w:pStyle w:val="Default"/>
              <w:numPr>
                <w:ilvl w:val="0"/>
                <w:numId w:val="5"/>
              </w:numPr>
              <w:spacing w:line="276" w:lineRule="auto"/>
              <w:ind w:left="360"/>
              <w:rPr>
                <w:rFonts w:ascii="Verdana" w:hAnsi="Verdana"/>
                <w:color w:val="auto"/>
                <w:sz w:val="16"/>
                <w:szCs w:val="16"/>
              </w:rPr>
            </w:pPr>
            <w:r w:rsidRPr="00E81168">
              <w:rPr>
                <w:rFonts w:ascii="Verdana" w:hAnsi="Verdana"/>
                <w:color w:val="auto"/>
                <w:sz w:val="16"/>
                <w:szCs w:val="16"/>
              </w:rPr>
              <w:t xml:space="preserve">the registered provider’s ability to meet the regulator’s standards and other regulatory requirements is not and cannot be prejudiced by the activities or influence of the parent company or another part of the group </w:t>
            </w:r>
          </w:p>
          <w:p w14:paraId="72B87EF1" w14:textId="77777777" w:rsidR="00B02749" w:rsidRPr="00F15578" w:rsidRDefault="00B02749" w:rsidP="00B02749">
            <w:pPr>
              <w:rPr>
                <w:rFonts w:ascii="Verdana" w:hAnsi="Verdana"/>
                <w:sz w:val="16"/>
                <w:szCs w:val="16"/>
              </w:rPr>
            </w:pPr>
          </w:p>
        </w:tc>
        <w:tc>
          <w:tcPr>
            <w:tcW w:w="4797" w:type="dxa"/>
            <w:shd w:val="clear" w:color="auto" w:fill="auto"/>
          </w:tcPr>
          <w:p w14:paraId="2AEAE747" w14:textId="77777777" w:rsidR="00B02749" w:rsidRPr="00E81168" w:rsidRDefault="00B02749" w:rsidP="00B02749">
            <w:pPr>
              <w:pStyle w:val="Default"/>
              <w:spacing w:line="276" w:lineRule="auto"/>
              <w:rPr>
                <w:rFonts w:ascii="Verdana" w:hAnsi="Verdana"/>
                <w:color w:val="auto"/>
                <w:sz w:val="16"/>
                <w:szCs w:val="16"/>
              </w:rPr>
            </w:pPr>
            <w:r w:rsidRPr="00E81168">
              <w:rPr>
                <w:rFonts w:ascii="Verdana" w:hAnsi="Verdana"/>
                <w:color w:val="auto"/>
                <w:sz w:val="16"/>
                <w:szCs w:val="16"/>
              </w:rPr>
              <w:t xml:space="preserve">48) Paragraphs 3.1 and 3.3 seek to ensure that where a registered provider is part of a group, it can look to other entities within that group for assistance with achieving compliance with regulatory requirements. If a registered provider is part of a corporate group, the regulator expects the registered provider will ensure that other entities within the group are aware of the regulatory requirements placed on the registered provider and understand the implications of them. </w:t>
            </w:r>
          </w:p>
          <w:p w14:paraId="10B74EDC" w14:textId="77777777" w:rsidR="00B02749" w:rsidRPr="00820BC6" w:rsidRDefault="00B02749" w:rsidP="00B02749">
            <w:pPr>
              <w:pStyle w:val="Default"/>
              <w:spacing w:line="276" w:lineRule="auto"/>
              <w:rPr>
                <w:rFonts w:ascii="Verdana" w:hAnsi="Verdana"/>
                <w:color w:val="auto"/>
                <w:sz w:val="10"/>
                <w:szCs w:val="16"/>
              </w:rPr>
            </w:pPr>
          </w:p>
          <w:p w14:paraId="63590D02" w14:textId="77777777" w:rsidR="00B02749" w:rsidRPr="00E81168" w:rsidRDefault="00B02749" w:rsidP="00B02749">
            <w:pPr>
              <w:pStyle w:val="Default"/>
              <w:spacing w:line="276" w:lineRule="auto"/>
              <w:rPr>
                <w:rFonts w:ascii="Verdana" w:hAnsi="Verdana"/>
                <w:color w:val="auto"/>
                <w:sz w:val="16"/>
                <w:szCs w:val="16"/>
              </w:rPr>
            </w:pPr>
            <w:r w:rsidRPr="00E81168">
              <w:rPr>
                <w:rFonts w:ascii="Verdana" w:hAnsi="Verdana"/>
                <w:color w:val="auto"/>
                <w:sz w:val="16"/>
                <w:szCs w:val="16"/>
              </w:rPr>
              <w:t xml:space="preserve">49)  Pursuant to paragraph 3.1, in groups where the parent is a registered provider, the parent is required to provide support or assistance to ensure the group’s compliance with regulatory standards. This includes, where appropriate, ensuring the ongoing viability of the group, and may require assistance to one registered provider from other registered providers to ensure continued compliance with regulatory standards. </w:t>
            </w:r>
          </w:p>
          <w:p w14:paraId="6A5503AE" w14:textId="77777777" w:rsidR="00B02749" w:rsidRPr="00820BC6" w:rsidRDefault="00B02749" w:rsidP="00B02749">
            <w:pPr>
              <w:pStyle w:val="Default"/>
              <w:spacing w:line="276" w:lineRule="auto"/>
              <w:rPr>
                <w:rFonts w:ascii="Verdana" w:hAnsi="Verdana"/>
                <w:color w:val="auto"/>
                <w:sz w:val="10"/>
                <w:szCs w:val="16"/>
              </w:rPr>
            </w:pPr>
          </w:p>
          <w:p w14:paraId="5A7B1103" w14:textId="77777777" w:rsidR="00B02749" w:rsidRPr="00F15578" w:rsidRDefault="00B02749" w:rsidP="00B02749">
            <w:pPr>
              <w:rPr>
                <w:rFonts w:ascii="Verdana" w:hAnsi="Verdana"/>
                <w:i/>
                <w:sz w:val="16"/>
                <w:szCs w:val="16"/>
              </w:rPr>
            </w:pPr>
            <w:r w:rsidRPr="00E81168">
              <w:rPr>
                <w:rFonts w:ascii="Verdana" w:hAnsi="Verdana"/>
                <w:sz w:val="16"/>
                <w:szCs w:val="16"/>
              </w:rPr>
              <w:t>50) Paragraph 3.3 means if a registered provider has an unregistered parent company, the registered providers must put in place mechanisms to ensure the parent company concerned will assist the registered provider to comply with regulatory requirements. Also, to ensure the parent company or another part of the group does not do anything that compromises the registered provider’s ability to meet regulatory requirements. In some circumstances it may be appropriate for the regulator to be a party to such agreements.</w:t>
            </w:r>
          </w:p>
        </w:tc>
        <w:tc>
          <w:tcPr>
            <w:tcW w:w="5782" w:type="dxa"/>
            <w:shd w:val="clear" w:color="auto" w:fill="auto"/>
          </w:tcPr>
          <w:p w14:paraId="7EB0E329" w14:textId="77777777" w:rsidR="00B02749" w:rsidRPr="00F15578" w:rsidRDefault="00B02749" w:rsidP="00B02749">
            <w:pPr>
              <w:rPr>
                <w:rFonts w:ascii="Verdana" w:hAnsi="Verdana"/>
                <w:sz w:val="16"/>
                <w:szCs w:val="16"/>
              </w:rPr>
            </w:pPr>
          </w:p>
        </w:tc>
      </w:tr>
      <w:tr w:rsidR="00B02749" w:rsidRPr="00F15578" w14:paraId="70494CF2" w14:textId="77777777" w:rsidTr="00B02749">
        <w:trPr>
          <w:trHeight w:val="581"/>
          <w:tblCellSpacing w:w="11" w:type="dxa"/>
        </w:trPr>
        <w:tc>
          <w:tcPr>
            <w:tcW w:w="758" w:type="dxa"/>
            <w:shd w:val="clear" w:color="auto" w:fill="F2F2F2" w:themeFill="background1" w:themeFillShade="F2"/>
          </w:tcPr>
          <w:p w14:paraId="38356339" w14:textId="77777777" w:rsidR="00B02749" w:rsidRPr="00F15578" w:rsidRDefault="00B02749" w:rsidP="00B02749">
            <w:pPr>
              <w:rPr>
                <w:rFonts w:ascii="Verdana" w:hAnsi="Verdana"/>
                <w:sz w:val="16"/>
                <w:szCs w:val="16"/>
              </w:rPr>
            </w:pPr>
            <w:r w:rsidRPr="00E81168">
              <w:rPr>
                <w:rFonts w:ascii="Verdana" w:hAnsi="Verdana"/>
                <w:sz w:val="16"/>
                <w:szCs w:val="16"/>
              </w:rPr>
              <w:t>3.4</w:t>
            </w:r>
          </w:p>
        </w:tc>
        <w:tc>
          <w:tcPr>
            <w:tcW w:w="4144" w:type="dxa"/>
            <w:shd w:val="clear" w:color="auto" w:fill="F2F2F2" w:themeFill="background1" w:themeFillShade="F2"/>
          </w:tcPr>
          <w:p w14:paraId="732C57B9" w14:textId="77777777" w:rsidR="00B02749" w:rsidRPr="00E81168" w:rsidRDefault="00B02749" w:rsidP="00B02749">
            <w:pPr>
              <w:pStyle w:val="Default"/>
              <w:spacing w:line="276" w:lineRule="auto"/>
              <w:rPr>
                <w:rFonts w:ascii="Verdana" w:hAnsi="Verdana"/>
                <w:color w:val="auto"/>
                <w:sz w:val="16"/>
                <w:szCs w:val="16"/>
                <w:u w:val="single"/>
              </w:rPr>
            </w:pPr>
            <w:r w:rsidRPr="00E81168">
              <w:rPr>
                <w:rFonts w:ascii="Verdana" w:hAnsi="Verdana"/>
                <w:b/>
                <w:bCs/>
                <w:color w:val="auto"/>
                <w:sz w:val="16"/>
                <w:szCs w:val="16"/>
                <w:u w:val="single"/>
              </w:rPr>
              <w:t xml:space="preserve">Profit making registered providers </w:t>
            </w:r>
          </w:p>
          <w:p w14:paraId="072E4221" w14:textId="77777777" w:rsidR="00B02749" w:rsidRPr="00E81168" w:rsidRDefault="00B02749" w:rsidP="00B02749">
            <w:pPr>
              <w:pStyle w:val="Default"/>
              <w:spacing w:line="276" w:lineRule="auto"/>
              <w:rPr>
                <w:rFonts w:ascii="Verdana" w:hAnsi="Verdana"/>
                <w:color w:val="auto"/>
                <w:sz w:val="16"/>
                <w:szCs w:val="16"/>
              </w:rPr>
            </w:pPr>
            <w:r w:rsidRPr="00E81168">
              <w:rPr>
                <w:rFonts w:ascii="Verdana" w:hAnsi="Verdana"/>
                <w:color w:val="auto"/>
                <w:sz w:val="16"/>
                <w:szCs w:val="16"/>
              </w:rPr>
              <w:t xml:space="preserve">Profit making registered providers shall ensure that they undertake their social housing </w:t>
            </w:r>
            <w:r w:rsidRPr="00E81168">
              <w:rPr>
                <w:rFonts w:ascii="Verdana" w:hAnsi="Verdana"/>
                <w:color w:val="auto"/>
                <w:sz w:val="16"/>
                <w:szCs w:val="16"/>
              </w:rPr>
              <w:lastRenderedPageBreak/>
              <w:t xml:space="preserve">activities in an entity which is legally and operationally separated from any other activities they may undertake, except as set out below. </w:t>
            </w:r>
          </w:p>
          <w:p w14:paraId="14ABB173" w14:textId="77777777" w:rsidR="00B02749" w:rsidRPr="00F15578" w:rsidRDefault="00B02749" w:rsidP="00B02749">
            <w:pPr>
              <w:rPr>
                <w:rFonts w:ascii="Verdana" w:hAnsi="Verdana"/>
                <w:sz w:val="16"/>
                <w:szCs w:val="16"/>
              </w:rPr>
            </w:pPr>
          </w:p>
        </w:tc>
        <w:tc>
          <w:tcPr>
            <w:tcW w:w="4797" w:type="dxa"/>
            <w:shd w:val="clear" w:color="auto" w:fill="auto"/>
          </w:tcPr>
          <w:p w14:paraId="19C34ADE" w14:textId="77777777" w:rsidR="00B02749" w:rsidRPr="00E81168" w:rsidRDefault="00B02749" w:rsidP="00B02749">
            <w:pPr>
              <w:pStyle w:val="Default"/>
              <w:spacing w:line="276" w:lineRule="auto"/>
              <w:rPr>
                <w:rFonts w:ascii="Verdana" w:hAnsi="Verdana"/>
                <w:color w:val="auto"/>
                <w:sz w:val="16"/>
                <w:szCs w:val="16"/>
              </w:rPr>
            </w:pPr>
            <w:r w:rsidRPr="00E81168">
              <w:rPr>
                <w:rFonts w:ascii="Verdana" w:hAnsi="Verdana"/>
                <w:color w:val="auto"/>
                <w:sz w:val="16"/>
                <w:szCs w:val="16"/>
              </w:rPr>
              <w:lastRenderedPageBreak/>
              <w:t xml:space="preserve">51) Profit making registered providers should separate any activities that do not relate to providing social housing from those that do. The regulator is concerned </w:t>
            </w:r>
            <w:r w:rsidRPr="00E81168">
              <w:rPr>
                <w:rFonts w:ascii="Verdana" w:hAnsi="Verdana"/>
                <w:color w:val="auto"/>
                <w:sz w:val="16"/>
                <w:szCs w:val="16"/>
              </w:rPr>
              <w:lastRenderedPageBreak/>
              <w:t xml:space="preserve">that any potential recourse to the social housing assets from other non-social housing parts of the business is minimal. Profit making registered providers should manage their affairs in such a way that this is the case. </w:t>
            </w:r>
          </w:p>
          <w:p w14:paraId="741BE210" w14:textId="77777777" w:rsidR="00B02749" w:rsidRPr="00E81168" w:rsidRDefault="00B02749" w:rsidP="00B02749">
            <w:pPr>
              <w:pStyle w:val="Default"/>
              <w:spacing w:line="276" w:lineRule="auto"/>
              <w:rPr>
                <w:rFonts w:ascii="Verdana" w:hAnsi="Verdana"/>
                <w:color w:val="auto"/>
                <w:sz w:val="16"/>
                <w:szCs w:val="16"/>
              </w:rPr>
            </w:pPr>
            <w:r w:rsidRPr="00E81168">
              <w:rPr>
                <w:rFonts w:ascii="Verdana" w:hAnsi="Verdana"/>
                <w:color w:val="auto"/>
                <w:sz w:val="16"/>
                <w:szCs w:val="16"/>
              </w:rPr>
              <w:t xml:space="preserve">52) A small amount of activity that does not relate to providing social housing is permitted within the legal entity. This is to allow for situations where the activity is undertaken for both social and non-social housing reasons, for example, mixed tenure developments. In such circumstances, the registered provider should ensure the non-social housing activity within the entity does not place social housing assets, </w:t>
            </w:r>
            <w:proofErr w:type="gramStart"/>
            <w:r w:rsidRPr="00E81168">
              <w:rPr>
                <w:rFonts w:ascii="Verdana" w:hAnsi="Verdana"/>
                <w:color w:val="auto"/>
                <w:sz w:val="16"/>
                <w:szCs w:val="16"/>
              </w:rPr>
              <w:t>activities</w:t>
            </w:r>
            <w:proofErr w:type="gramEnd"/>
            <w:r w:rsidRPr="00E81168">
              <w:rPr>
                <w:rFonts w:ascii="Verdana" w:hAnsi="Verdana"/>
                <w:color w:val="auto"/>
                <w:sz w:val="16"/>
                <w:szCs w:val="16"/>
              </w:rPr>
              <w:t xml:space="preserve"> or its own financial viability at undue risk. The regulator considers, where it is necessary for non-social housing activity to be carried out in the legal entity, the amount of non-social housing activity should be in the region of no more than 5% of capital or turnover. Registered providers should include within the calculation of the amount of non-social housing activity any agreements entered which relate to non-social housing activity by others, which could have a material negative impact on the social housing assets. </w:t>
            </w:r>
          </w:p>
          <w:p w14:paraId="6CBC8196" w14:textId="77777777" w:rsidR="00B02749" w:rsidRPr="00E81168" w:rsidRDefault="00B02749" w:rsidP="00B02749">
            <w:pPr>
              <w:pStyle w:val="Default"/>
              <w:spacing w:line="276" w:lineRule="auto"/>
              <w:rPr>
                <w:rFonts w:ascii="Verdana" w:hAnsi="Verdana"/>
                <w:color w:val="auto"/>
                <w:sz w:val="16"/>
                <w:szCs w:val="16"/>
              </w:rPr>
            </w:pPr>
            <w:r w:rsidRPr="00E81168">
              <w:rPr>
                <w:rFonts w:ascii="Verdana" w:hAnsi="Verdana"/>
                <w:color w:val="auto"/>
                <w:sz w:val="16"/>
                <w:szCs w:val="16"/>
              </w:rPr>
              <w:t xml:space="preserve">53) Boards of </w:t>
            </w:r>
            <w:proofErr w:type="gramStart"/>
            <w:r w:rsidRPr="00E81168">
              <w:rPr>
                <w:rFonts w:ascii="Verdana" w:hAnsi="Verdana"/>
                <w:color w:val="auto"/>
                <w:sz w:val="16"/>
                <w:szCs w:val="16"/>
              </w:rPr>
              <w:t>profit making</w:t>
            </w:r>
            <w:proofErr w:type="gramEnd"/>
            <w:r w:rsidRPr="00E81168">
              <w:rPr>
                <w:rFonts w:ascii="Verdana" w:hAnsi="Verdana"/>
                <w:color w:val="auto"/>
                <w:sz w:val="16"/>
                <w:szCs w:val="16"/>
              </w:rPr>
              <w:t xml:space="preserve"> registered providers should consider what are social housing or non-social housing activities and should approve the final designation. The regulator may seek assurance on the robustness of the processes and challenge if it considers the conclusions are inconsistent with the required outcomes contained in the Standard. The designation of activities should be considered by boards and updated as activities start or stop or when the organisation </w:t>
            </w:r>
            <w:proofErr w:type="gramStart"/>
            <w:r w:rsidRPr="00E81168">
              <w:rPr>
                <w:rFonts w:ascii="Verdana" w:hAnsi="Verdana"/>
                <w:color w:val="auto"/>
                <w:sz w:val="16"/>
                <w:szCs w:val="16"/>
              </w:rPr>
              <w:t>enters into</w:t>
            </w:r>
            <w:proofErr w:type="gramEnd"/>
            <w:r w:rsidRPr="00E81168">
              <w:rPr>
                <w:rFonts w:ascii="Verdana" w:hAnsi="Verdana"/>
                <w:color w:val="auto"/>
                <w:sz w:val="16"/>
                <w:szCs w:val="16"/>
              </w:rPr>
              <w:t xml:space="preserve"> new ventures. To aid boards, the regulator lists below some activities which are not considered to be related to the provision of social housing: </w:t>
            </w:r>
          </w:p>
          <w:p w14:paraId="16C44869" w14:textId="77777777" w:rsidR="00B02749" w:rsidRPr="00E81168" w:rsidRDefault="00B02749" w:rsidP="00B02749">
            <w:pPr>
              <w:pStyle w:val="Default"/>
              <w:numPr>
                <w:ilvl w:val="0"/>
                <w:numId w:val="13"/>
              </w:numPr>
              <w:spacing w:after="30" w:line="276" w:lineRule="auto"/>
              <w:rPr>
                <w:rFonts w:ascii="Verdana" w:hAnsi="Verdana"/>
                <w:color w:val="auto"/>
                <w:sz w:val="16"/>
                <w:szCs w:val="16"/>
              </w:rPr>
            </w:pPr>
            <w:r w:rsidRPr="00E81168">
              <w:rPr>
                <w:rFonts w:ascii="Verdana" w:hAnsi="Verdana"/>
                <w:color w:val="auto"/>
                <w:sz w:val="16"/>
                <w:szCs w:val="16"/>
              </w:rPr>
              <w:t>management/maintenance services to other organisations</w:t>
            </w:r>
          </w:p>
          <w:p w14:paraId="031AB3CC" w14:textId="77777777" w:rsidR="00B02749" w:rsidRPr="00F15578" w:rsidRDefault="00B02749" w:rsidP="00B02749">
            <w:pPr>
              <w:pStyle w:val="Default"/>
              <w:numPr>
                <w:ilvl w:val="0"/>
                <w:numId w:val="13"/>
              </w:numPr>
              <w:spacing w:after="30" w:line="276" w:lineRule="auto"/>
              <w:rPr>
                <w:rFonts w:ascii="Verdana" w:hAnsi="Verdana"/>
                <w:i/>
                <w:sz w:val="16"/>
                <w:szCs w:val="16"/>
              </w:rPr>
            </w:pPr>
            <w:r w:rsidRPr="00E81168">
              <w:rPr>
                <w:rFonts w:ascii="Verdana" w:hAnsi="Verdana"/>
                <w:color w:val="auto"/>
                <w:sz w:val="16"/>
                <w:szCs w:val="16"/>
              </w:rPr>
              <w:t>management/maintenance services for own non-social housing</w:t>
            </w:r>
            <w:r>
              <w:rPr>
                <w:rFonts w:ascii="Verdana" w:hAnsi="Verdana"/>
                <w:color w:val="auto"/>
                <w:sz w:val="16"/>
                <w:szCs w:val="16"/>
              </w:rPr>
              <w:t xml:space="preserve"> </w:t>
            </w:r>
            <w:r w:rsidRPr="00E81168">
              <w:rPr>
                <w:rFonts w:ascii="Verdana" w:hAnsi="Verdana"/>
                <w:sz w:val="16"/>
                <w:szCs w:val="16"/>
              </w:rPr>
              <w:t>care services</w:t>
            </w:r>
            <w:r w:rsidRPr="00E81168">
              <w:rPr>
                <w:rFonts w:ascii="Verdana" w:hAnsi="Verdana"/>
                <w:i/>
                <w:sz w:val="16"/>
                <w:szCs w:val="16"/>
              </w:rPr>
              <w:t xml:space="preserve"> </w:t>
            </w:r>
          </w:p>
        </w:tc>
        <w:tc>
          <w:tcPr>
            <w:tcW w:w="5782" w:type="dxa"/>
            <w:shd w:val="clear" w:color="auto" w:fill="auto"/>
          </w:tcPr>
          <w:p w14:paraId="19B2829C" w14:textId="77777777" w:rsidR="00B02749" w:rsidRPr="00F15578" w:rsidRDefault="00B02749" w:rsidP="00B02749">
            <w:pPr>
              <w:rPr>
                <w:rFonts w:ascii="Verdana" w:hAnsi="Verdana"/>
                <w:sz w:val="16"/>
                <w:szCs w:val="16"/>
              </w:rPr>
            </w:pPr>
          </w:p>
        </w:tc>
      </w:tr>
      <w:tr w:rsidR="00B02749" w:rsidRPr="00F15578" w14:paraId="1BA61E05" w14:textId="77777777" w:rsidTr="00B02749">
        <w:trPr>
          <w:trHeight w:val="1993"/>
          <w:tblCellSpacing w:w="11" w:type="dxa"/>
        </w:trPr>
        <w:tc>
          <w:tcPr>
            <w:tcW w:w="758" w:type="dxa"/>
            <w:shd w:val="clear" w:color="auto" w:fill="F2F2F2" w:themeFill="background1" w:themeFillShade="F2"/>
          </w:tcPr>
          <w:p w14:paraId="4719DB8C" w14:textId="77777777" w:rsidR="00B02749" w:rsidRPr="00F15578" w:rsidRDefault="00B02749" w:rsidP="00B02749">
            <w:pPr>
              <w:rPr>
                <w:rFonts w:ascii="Verdana" w:hAnsi="Verdana"/>
                <w:sz w:val="16"/>
                <w:szCs w:val="16"/>
              </w:rPr>
            </w:pPr>
            <w:r w:rsidRPr="00E81168">
              <w:rPr>
                <w:rFonts w:ascii="Verdana" w:hAnsi="Verdana"/>
                <w:sz w:val="16"/>
                <w:szCs w:val="16"/>
              </w:rPr>
              <w:lastRenderedPageBreak/>
              <w:t>3.5</w:t>
            </w:r>
          </w:p>
        </w:tc>
        <w:tc>
          <w:tcPr>
            <w:tcW w:w="4144" w:type="dxa"/>
            <w:shd w:val="clear" w:color="auto" w:fill="F2F2F2" w:themeFill="background1" w:themeFillShade="F2"/>
          </w:tcPr>
          <w:p w14:paraId="4608589C" w14:textId="77777777" w:rsidR="00B02749" w:rsidRPr="00E81168" w:rsidRDefault="00B02749" w:rsidP="00B02749">
            <w:pPr>
              <w:pStyle w:val="Default"/>
              <w:spacing w:line="276" w:lineRule="auto"/>
              <w:rPr>
                <w:rFonts w:ascii="Verdana" w:hAnsi="Verdana"/>
                <w:color w:val="auto"/>
                <w:sz w:val="16"/>
                <w:szCs w:val="16"/>
              </w:rPr>
            </w:pPr>
            <w:r w:rsidRPr="00E81168">
              <w:rPr>
                <w:rFonts w:ascii="Verdana" w:hAnsi="Verdana"/>
                <w:color w:val="auto"/>
                <w:sz w:val="16"/>
                <w:szCs w:val="16"/>
              </w:rPr>
              <w:t xml:space="preserve">Profit making registered providers should ensure that activities they undertake which do not relate to the provision of social housing: </w:t>
            </w:r>
          </w:p>
          <w:p w14:paraId="493C2ED7" w14:textId="77777777" w:rsidR="00B02749" w:rsidRPr="00E81168" w:rsidRDefault="00B02749" w:rsidP="00B02749">
            <w:pPr>
              <w:pStyle w:val="Default"/>
              <w:spacing w:line="276" w:lineRule="auto"/>
              <w:rPr>
                <w:rFonts w:ascii="Verdana" w:hAnsi="Verdana"/>
                <w:color w:val="auto"/>
                <w:sz w:val="16"/>
                <w:szCs w:val="16"/>
              </w:rPr>
            </w:pPr>
            <w:r w:rsidRPr="00E81168">
              <w:rPr>
                <w:rFonts w:ascii="Verdana" w:hAnsi="Verdana"/>
                <w:color w:val="auto"/>
                <w:sz w:val="16"/>
                <w:szCs w:val="16"/>
              </w:rPr>
              <w:t xml:space="preserve">(a) form only a very small part of the activities they undertake </w:t>
            </w:r>
          </w:p>
          <w:p w14:paraId="24DDC39A" w14:textId="77777777" w:rsidR="00B02749" w:rsidRPr="00F15578" w:rsidRDefault="00B02749" w:rsidP="00B02749">
            <w:pPr>
              <w:rPr>
                <w:rFonts w:ascii="Verdana" w:hAnsi="Verdana"/>
                <w:sz w:val="16"/>
                <w:szCs w:val="16"/>
              </w:rPr>
            </w:pPr>
            <w:r w:rsidRPr="00E81168">
              <w:rPr>
                <w:rFonts w:ascii="Verdana" w:hAnsi="Verdana"/>
                <w:sz w:val="16"/>
                <w:szCs w:val="16"/>
              </w:rPr>
              <w:t>(b) are not such as to mean that registered providers place social housing assets, activities relating to the provision of social housing or their own financial viability at undue risk</w:t>
            </w:r>
          </w:p>
        </w:tc>
        <w:tc>
          <w:tcPr>
            <w:tcW w:w="4797" w:type="dxa"/>
            <w:shd w:val="clear" w:color="auto" w:fill="auto"/>
          </w:tcPr>
          <w:p w14:paraId="6AA5A816" w14:textId="16E10191" w:rsidR="00B02749" w:rsidRPr="00F15578" w:rsidRDefault="00B02749" w:rsidP="00B02749">
            <w:pPr>
              <w:rPr>
                <w:rFonts w:ascii="Verdana" w:hAnsi="Verdana"/>
                <w:i/>
                <w:sz w:val="16"/>
                <w:szCs w:val="16"/>
              </w:rPr>
            </w:pPr>
            <w:r>
              <w:rPr>
                <w:rFonts w:ascii="Verdana" w:hAnsi="Verdana"/>
                <w:i/>
                <w:sz w:val="16"/>
                <w:szCs w:val="16"/>
              </w:rPr>
              <w:t>n/a</w:t>
            </w:r>
          </w:p>
        </w:tc>
        <w:tc>
          <w:tcPr>
            <w:tcW w:w="5782" w:type="dxa"/>
            <w:shd w:val="clear" w:color="auto" w:fill="auto"/>
          </w:tcPr>
          <w:p w14:paraId="37E30791" w14:textId="77777777" w:rsidR="00B02749" w:rsidRPr="00F15578" w:rsidRDefault="00B02749" w:rsidP="00B02749">
            <w:pPr>
              <w:rPr>
                <w:rFonts w:ascii="Verdana" w:hAnsi="Verdana"/>
                <w:sz w:val="16"/>
                <w:szCs w:val="16"/>
              </w:rPr>
            </w:pPr>
          </w:p>
        </w:tc>
      </w:tr>
    </w:tbl>
    <w:p w14:paraId="4EDA5F36" w14:textId="77777777" w:rsidR="00AF2A88" w:rsidRPr="00AF6E7B" w:rsidRDefault="00AF2A88" w:rsidP="00AF2A88">
      <w:pPr>
        <w:rPr>
          <w:sz w:val="2"/>
        </w:rPr>
      </w:pPr>
    </w:p>
    <w:tbl>
      <w:tblPr>
        <w:tblStyle w:val="TableGrid2"/>
        <w:tblW w:w="15672" w:type="dxa"/>
        <w:tblInd w:w="29"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ayout w:type="fixed"/>
        <w:tblLook w:val="04A0" w:firstRow="1" w:lastRow="0" w:firstColumn="1" w:lastColumn="0" w:noHBand="0" w:noVBand="1"/>
      </w:tblPr>
      <w:tblGrid>
        <w:gridCol w:w="3198"/>
        <w:gridCol w:w="2854"/>
        <w:gridCol w:w="1540"/>
        <w:gridCol w:w="3260"/>
        <w:gridCol w:w="284"/>
        <w:gridCol w:w="2693"/>
        <w:gridCol w:w="1843"/>
      </w:tblGrid>
      <w:tr w:rsidR="00F25F29" w:rsidRPr="00F25F29" w14:paraId="05BE027D" w14:textId="77777777" w:rsidTr="009B2F9E">
        <w:trPr>
          <w:trHeight w:val="380"/>
        </w:trPr>
        <w:tc>
          <w:tcPr>
            <w:tcW w:w="10852" w:type="dxa"/>
            <w:gridSpan w:val="4"/>
            <w:vMerge w:val="restart"/>
            <w:shd w:val="clear" w:color="auto" w:fill="FFFFFF" w:themeFill="background1"/>
          </w:tcPr>
          <w:p w14:paraId="2A8379B4" w14:textId="77777777" w:rsidR="00F25F29" w:rsidRDefault="00F25F29" w:rsidP="00F25F29">
            <w:pPr>
              <w:jc w:val="center"/>
              <w:rPr>
                <w:b/>
                <w:i/>
                <w:sz w:val="20"/>
                <w:szCs w:val="20"/>
              </w:rPr>
            </w:pPr>
          </w:p>
          <w:p w14:paraId="10E0B520" w14:textId="77777777" w:rsidR="000C6976" w:rsidRPr="00F25F29" w:rsidRDefault="000C6976" w:rsidP="00F25F29">
            <w:pPr>
              <w:jc w:val="center"/>
              <w:rPr>
                <w:b/>
                <w:i/>
                <w:sz w:val="20"/>
                <w:szCs w:val="20"/>
              </w:rPr>
            </w:pPr>
          </w:p>
          <w:p w14:paraId="17915216" w14:textId="77777777" w:rsidR="00F25F29" w:rsidRPr="00F25F29" w:rsidRDefault="00F25F29" w:rsidP="00F25F29">
            <w:pPr>
              <w:jc w:val="center"/>
              <w:rPr>
                <w:b/>
                <w:i/>
                <w:sz w:val="20"/>
                <w:szCs w:val="20"/>
              </w:rPr>
            </w:pPr>
            <w:r w:rsidRPr="00F25F29">
              <w:rPr>
                <w:b/>
                <w:bCs/>
                <w:i/>
                <w:iCs/>
                <w:sz w:val="20"/>
                <w:szCs w:val="20"/>
              </w:rPr>
              <w:t xml:space="preserve">I confirm that the information and supporting evidence provided within this compliance </w:t>
            </w:r>
            <w:proofErr w:type="spellStart"/>
            <w:r w:rsidRPr="00F25F29">
              <w:rPr>
                <w:b/>
                <w:bCs/>
                <w:i/>
                <w:iCs/>
                <w:sz w:val="20"/>
                <w:szCs w:val="20"/>
              </w:rPr>
              <w:t>self assessment</w:t>
            </w:r>
            <w:proofErr w:type="spellEnd"/>
            <w:r w:rsidRPr="00F25F29">
              <w:rPr>
                <w:b/>
                <w:bCs/>
                <w:i/>
                <w:iCs/>
                <w:sz w:val="20"/>
                <w:szCs w:val="20"/>
              </w:rPr>
              <w:t xml:space="preserve"> is up to date and accurate to the best of my knowledge.  There are no areas of </w:t>
            </w:r>
            <w:proofErr w:type="spellStart"/>
            <w:proofErr w:type="gramStart"/>
            <w:r w:rsidRPr="00F25F29">
              <w:rPr>
                <w:b/>
                <w:bCs/>
                <w:i/>
                <w:iCs/>
                <w:sz w:val="20"/>
                <w:szCs w:val="20"/>
              </w:rPr>
              <w:t>non compliance</w:t>
            </w:r>
            <w:proofErr w:type="spellEnd"/>
            <w:proofErr w:type="gramEnd"/>
            <w:r w:rsidRPr="00F25F29">
              <w:rPr>
                <w:b/>
                <w:bCs/>
                <w:i/>
                <w:iCs/>
                <w:sz w:val="20"/>
                <w:szCs w:val="20"/>
              </w:rPr>
              <w:t xml:space="preserve"> /omissions that I am aware of and all reasonable steps have been taken to ensure compliance with law relating to these areas.</w:t>
            </w:r>
          </w:p>
        </w:tc>
        <w:tc>
          <w:tcPr>
            <w:tcW w:w="284" w:type="dxa"/>
            <w:vMerge w:val="restart"/>
            <w:tcBorders>
              <w:top w:val="double" w:sz="4" w:space="0" w:color="FFFFFF" w:themeColor="background1"/>
              <w:right w:val="nil"/>
            </w:tcBorders>
            <w:shd w:val="clear" w:color="auto" w:fill="FFFFFF" w:themeFill="background1"/>
          </w:tcPr>
          <w:p w14:paraId="3D06D814" w14:textId="77777777" w:rsidR="00F25F29" w:rsidRPr="00F25F29" w:rsidRDefault="00F25F29" w:rsidP="00F25F29">
            <w:pPr>
              <w:jc w:val="center"/>
              <w:rPr>
                <w:b/>
                <w:i/>
                <w:sz w:val="20"/>
                <w:szCs w:val="20"/>
              </w:rPr>
            </w:pPr>
          </w:p>
        </w:tc>
        <w:tc>
          <w:tcPr>
            <w:tcW w:w="2693" w:type="dxa"/>
            <w:tcBorders>
              <w:top w:val="nil"/>
              <w:left w:val="nil"/>
            </w:tcBorders>
            <w:shd w:val="clear" w:color="auto" w:fill="FFFFFF" w:themeFill="background1"/>
          </w:tcPr>
          <w:p w14:paraId="4A9C590C" w14:textId="77777777" w:rsidR="00F25F29" w:rsidRPr="00F25F29" w:rsidRDefault="00F25F29" w:rsidP="00F25F29">
            <w:pPr>
              <w:jc w:val="center"/>
              <w:rPr>
                <w:sz w:val="20"/>
                <w:szCs w:val="20"/>
              </w:rPr>
            </w:pPr>
          </w:p>
        </w:tc>
        <w:tc>
          <w:tcPr>
            <w:tcW w:w="1843" w:type="dxa"/>
            <w:shd w:val="clear" w:color="auto" w:fill="4F81BD" w:themeFill="accent1"/>
          </w:tcPr>
          <w:p w14:paraId="6B10FCC5" w14:textId="77777777" w:rsidR="00F25F29" w:rsidRPr="00F25F29" w:rsidRDefault="00F25F29" w:rsidP="00F25F29">
            <w:pPr>
              <w:jc w:val="center"/>
              <w:rPr>
                <w:b/>
                <w:sz w:val="20"/>
                <w:szCs w:val="20"/>
              </w:rPr>
            </w:pPr>
            <w:r w:rsidRPr="009B2F9E">
              <w:rPr>
                <w:b/>
                <w:color w:val="FFFFFF" w:themeColor="background1"/>
                <w:sz w:val="20"/>
                <w:szCs w:val="20"/>
              </w:rPr>
              <w:t xml:space="preserve">Dates presented </w:t>
            </w:r>
          </w:p>
        </w:tc>
      </w:tr>
      <w:tr w:rsidR="008F603E" w:rsidRPr="00F25F29" w14:paraId="31689AD7" w14:textId="77777777" w:rsidTr="00F25F29">
        <w:trPr>
          <w:trHeight w:val="165"/>
        </w:trPr>
        <w:tc>
          <w:tcPr>
            <w:tcW w:w="10852" w:type="dxa"/>
            <w:gridSpan w:val="4"/>
            <w:vMerge/>
            <w:shd w:val="clear" w:color="auto" w:fill="FFFFFF" w:themeFill="background1"/>
          </w:tcPr>
          <w:p w14:paraId="65721EB2" w14:textId="77777777" w:rsidR="008F603E" w:rsidRPr="00F25F29" w:rsidRDefault="008F603E" w:rsidP="00F25F29">
            <w:pPr>
              <w:jc w:val="center"/>
              <w:rPr>
                <w:b/>
                <w:i/>
                <w:sz w:val="20"/>
                <w:szCs w:val="20"/>
              </w:rPr>
            </w:pPr>
          </w:p>
        </w:tc>
        <w:tc>
          <w:tcPr>
            <w:tcW w:w="284" w:type="dxa"/>
            <w:vMerge/>
            <w:shd w:val="clear" w:color="auto" w:fill="FFFFFF" w:themeFill="background1"/>
          </w:tcPr>
          <w:p w14:paraId="66106FB9" w14:textId="77777777" w:rsidR="008F603E" w:rsidRPr="00F25F29" w:rsidRDefault="008F603E" w:rsidP="00F25F29">
            <w:pPr>
              <w:jc w:val="center"/>
              <w:rPr>
                <w:b/>
                <w:i/>
                <w:sz w:val="20"/>
                <w:szCs w:val="20"/>
              </w:rPr>
            </w:pPr>
          </w:p>
        </w:tc>
        <w:tc>
          <w:tcPr>
            <w:tcW w:w="2693" w:type="dxa"/>
            <w:shd w:val="clear" w:color="auto" w:fill="D9D9D9" w:themeFill="background1" w:themeFillShade="D9"/>
          </w:tcPr>
          <w:p w14:paraId="1F9AFCFA" w14:textId="2B90782A" w:rsidR="008F603E" w:rsidRPr="00D87461" w:rsidRDefault="00AB60AA" w:rsidP="00A44CCD">
            <w:pPr>
              <w:rPr>
                <w:sz w:val="20"/>
                <w:szCs w:val="20"/>
              </w:rPr>
            </w:pPr>
            <w:r>
              <w:rPr>
                <w:sz w:val="20"/>
                <w:szCs w:val="20"/>
              </w:rPr>
              <w:t xml:space="preserve">Group presented to </w:t>
            </w:r>
          </w:p>
        </w:tc>
        <w:tc>
          <w:tcPr>
            <w:tcW w:w="1843" w:type="dxa"/>
            <w:shd w:val="clear" w:color="auto" w:fill="FFFFFF" w:themeFill="background1"/>
          </w:tcPr>
          <w:p w14:paraId="17E7C476" w14:textId="3622B8C1" w:rsidR="008F603E" w:rsidRPr="00D87461" w:rsidRDefault="008F603E" w:rsidP="001052C6">
            <w:pPr>
              <w:jc w:val="center"/>
              <w:rPr>
                <w:sz w:val="20"/>
                <w:szCs w:val="20"/>
              </w:rPr>
            </w:pPr>
          </w:p>
        </w:tc>
      </w:tr>
      <w:tr w:rsidR="008F603E" w:rsidRPr="00F25F29" w14:paraId="695F72DC" w14:textId="77777777" w:rsidTr="00E70535">
        <w:trPr>
          <w:trHeight w:val="260"/>
        </w:trPr>
        <w:tc>
          <w:tcPr>
            <w:tcW w:w="10852" w:type="dxa"/>
            <w:gridSpan w:val="4"/>
            <w:vMerge/>
            <w:shd w:val="clear" w:color="auto" w:fill="FFFFFF" w:themeFill="background1"/>
          </w:tcPr>
          <w:p w14:paraId="1508F7E2" w14:textId="77777777" w:rsidR="008F603E" w:rsidRPr="00F25F29" w:rsidRDefault="008F603E" w:rsidP="00F25F29">
            <w:pPr>
              <w:jc w:val="center"/>
              <w:rPr>
                <w:b/>
                <w:i/>
                <w:sz w:val="20"/>
                <w:szCs w:val="20"/>
              </w:rPr>
            </w:pPr>
          </w:p>
        </w:tc>
        <w:tc>
          <w:tcPr>
            <w:tcW w:w="284" w:type="dxa"/>
            <w:vMerge/>
            <w:shd w:val="clear" w:color="auto" w:fill="FFFFFF" w:themeFill="background1"/>
          </w:tcPr>
          <w:p w14:paraId="141A6169" w14:textId="77777777" w:rsidR="008F603E" w:rsidRPr="00F25F29" w:rsidRDefault="008F603E" w:rsidP="00F25F29">
            <w:pPr>
              <w:jc w:val="center"/>
              <w:rPr>
                <w:b/>
                <w:i/>
                <w:sz w:val="20"/>
                <w:szCs w:val="20"/>
              </w:rPr>
            </w:pPr>
          </w:p>
        </w:tc>
        <w:tc>
          <w:tcPr>
            <w:tcW w:w="2693" w:type="dxa"/>
            <w:shd w:val="clear" w:color="auto" w:fill="D9D9D9" w:themeFill="background1" w:themeFillShade="D9"/>
          </w:tcPr>
          <w:p w14:paraId="5317B77C" w14:textId="0A1CD791" w:rsidR="008F603E" w:rsidRPr="00D87461" w:rsidRDefault="008F603E" w:rsidP="001052C6">
            <w:pPr>
              <w:rPr>
                <w:sz w:val="20"/>
                <w:szCs w:val="20"/>
              </w:rPr>
            </w:pPr>
          </w:p>
        </w:tc>
        <w:tc>
          <w:tcPr>
            <w:tcW w:w="1843" w:type="dxa"/>
            <w:shd w:val="clear" w:color="auto" w:fill="FFFFFF" w:themeFill="background1"/>
          </w:tcPr>
          <w:p w14:paraId="4FE6EEAE" w14:textId="6D16872C" w:rsidR="008F603E" w:rsidRPr="00D87461" w:rsidRDefault="008F603E" w:rsidP="001052C6">
            <w:pPr>
              <w:jc w:val="center"/>
              <w:rPr>
                <w:sz w:val="20"/>
                <w:szCs w:val="20"/>
              </w:rPr>
            </w:pPr>
          </w:p>
        </w:tc>
      </w:tr>
      <w:tr w:rsidR="008F603E" w:rsidRPr="00F25F29" w14:paraId="4387594D" w14:textId="77777777" w:rsidTr="00F25F29">
        <w:trPr>
          <w:trHeight w:val="43"/>
        </w:trPr>
        <w:tc>
          <w:tcPr>
            <w:tcW w:w="10852" w:type="dxa"/>
            <w:gridSpan w:val="4"/>
            <w:vMerge/>
            <w:shd w:val="clear" w:color="auto" w:fill="FFFFFF" w:themeFill="background1"/>
          </w:tcPr>
          <w:p w14:paraId="0DC6401C" w14:textId="77777777" w:rsidR="008F603E" w:rsidRPr="00F25F29" w:rsidRDefault="008F603E" w:rsidP="00F25F29">
            <w:pPr>
              <w:jc w:val="center"/>
              <w:rPr>
                <w:b/>
                <w:i/>
                <w:sz w:val="20"/>
                <w:szCs w:val="20"/>
              </w:rPr>
            </w:pPr>
          </w:p>
        </w:tc>
        <w:tc>
          <w:tcPr>
            <w:tcW w:w="284" w:type="dxa"/>
            <w:vMerge/>
            <w:tcBorders>
              <w:bottom w:val="double" w:sz="4" w:space="0" w:color="FFFFFF" w:themeColor="background1"/>
            </w:tcBorders>
            <w:shd w:val="clear" w:color="auto" w:fill="FFFFFF" w:themeFill="background1"/>
          </w:tcPr>
          <w:p w14:paraId="09963204" w14:textId="77777777" w:rsidR="008F603E" w:rsidRPr="00F25F29" w:rsidRDefault="008F603E" w:rsidP="00F25F29">
            <w:pPr>
              <w:jc w:val="center"/>
              <w:rPr>
                <w:b/>
                <w:i/>
                <w:sz w:val="20"/>
                <w:szCs w:val="20"/>
              </w:rPr>
            </w:pPr>
          </w:p>
        </w:tc>
        <w:tc>
          <w:tcPr>
            <w:tcW w:w="2693" w:type="dxa"/>
            <w:tcBorders>
              <w:bottom w:val="double" w:sz="4" w:space="0" w:color="A6A6A6" w:themeColor="background1" w:themeShade="A6"/>
            </w:tcBorders>
            <w:shd w:val="clear" w:color="auto" w:fill="D9D9D9" w:themeFill="background1" w:themeFillShade="D9"/>
          </w:tcPr>
          <w:p w14:paraId="62096DA3" w14:textId="0F868C74" w:rsidR="008F603E" w:rsidRPr="00D87461" w:rsidRDefault="008F603E" w:rsidP="001052C6">
            <w:pPr>
              <w:rPr>
                <w:sz w:val="20"/>
                <w:szCs w:val="20"/>
              </w:rPr>
            </w:pPr>
          </w:p>
        </w:tc>
        <w:tc>
          <w:tcPr>
            <w:tcW w:w="1843" w:type="dxa"/>
            <w:tcBorders>
              <w:bottom w:val="double" w:sz="4" w:space="0" w:color="A6A6A6" w:themeColor="background1" w:themeShade="A6"/>
            </w:tcBorders>
            <w:shd w:val="clear" w:color="auto" w:fill="FFFFFF" w:themeFill="background1"/>
          </w:tcPr>
          <w:p w14:paraId="1EBFEA2C" w14:textId="144C92A1" w:rsidR="008F603E" w:rsidRPr="00D87461" w:rsidRDefault="008F603E" w:rsidP="001052C6">
            <w:pPr>
              <w:jc w:val="center"/>
              <w:rPr>
                <w:sz w:val="20"/>
                <w:szCs w:val="20"/>
              </w:rPr>
            </w:pPr>
          </w:p>
        </w:tc>
      </w:tr>
      <w:tr w:rsidR="00BC168F" w:rsidRPr="00F25F29" w14:paraId="63F6D4FC" w14:textId="77777777" w:rsidTr="009B2F9E">
        <w:trPr>
          <w:trHeight w:val="218"/>
        </w:trPr>
        <w:tc>
          <w:tcPr>
            <w:tcW w:w="3198" w:type="dxa"/>
            <w:vMerge w:val="restart"/>
            <w:shd w:val="clear" w:color="auto" w:fill="4F81BD" w:themeFill="accent1"/>
            <w:vAlign w:val="center"/>
          </w:tcPr>
          <w:p w14:paraId="3A79A51B" w14:textId="77777777" w:rsidR="00BC168F" w:rsidRPr="009B2F9E" w:rsidRDefault="00BC168F" w:rsidP="00BC168F">
            <w:pPr>
              <w:jc w:val="center"/>
              <w:rPr>
                <w:b/>
                <w:color w:val="FFFFFF" w:themeColor="background1"/>
                <w:sz w:val="20"/>
                <w:szCs w:val="20"/>
              </w:rPr>
            </w:pPr>
            <w:r w:rsidRPr="009B2F9E">
              <w:rPr>
                <w:b/>
                <w:color w:val="FFFFFF" w:themeColor="background1"/>
                <w:sz w:val="20"/>
                <w:szCs w:val="20"/>
              </w:rPr>
              <w:t>Leader Manager (s)</w:t>
            </w:r>
          </w:p>
        </w:tc>
        <w:tc>
          <w:tcPr>
            <w:tcW w:w="2854" w:type="dxa"/>
            <w:vMerge w:val="restart"/>
            <w:shd w:val="clear" w:color="auto" w:fill="4F81BD" w:themeFill="accent1"/>
            <w:vAlign w:val="center"/>
          </w:tcPr>
          <w:p w14:paraId="67BFD73F" w14:textId="77777777" w:rsidR="00BC168F" w:rsidRPr="009B2F9E" w:rsidRDefault="00BC168F" w:rsidP="00BC168F">
            <w:pPr>
              <w:jc w:val="center"/>
              <w:rPr>
                <w:b/>
                <w:i/>
                <w:color w:val="FFFFFF" w:themeColor="background1"/>
                <w:sz w:val="20"/>
                <w:szCs w:val="20"/>
              </w:rPr>
            </w:pPr>
            <w:r w:rsidRPr="009B2F9E">
              <w:rPr>
                <w:b/>
                <w:i/>
                <w:color w:val="FFFFFF" w:themeColor="background1"/>
                <w:sz w:val="20"/>
                <w:szCs w:val="20"/>
              </w:rPr>
              <w:t>Ref No.</w:t>
            </w:r>
          </w:p>
        </w:tc>
        <w:tc>
          <w:tcPr>
            <w:tcW w:w="1540" w:type="dxa"/>
            <w:vMerge w:val="restart"/>
            <w:shd w:val="clear" w:color="auto" w:fill="4F81BD" w:themeFill="accent1"/>
          </w:tcPr>
          <w:p w14:paraId="45B16EF1" w14:textId="77777777" w:rsidR="00BC168F" w:rsidRPr="009B2F9E" w:rsidRDefault="00BC168F" w:rsidP="00BC168F">
            <w:pPr>
              <w:jc w:val="center"/>
              <w:rPr>
                <w:b/>
                <w:i/>
                <w:color w:val="FFFFFF" w:themeColor="background1"/>
                <w:sz w:val="12"/>
                <w:szCs w:val="20"/>
              </w:rPr>
            </w:pPr>
          </w:p>
          <w:p w14:paraId="42F9F256" w14:textId="77777777" w:rsidR="00BC168F" w:rsidRPr="009B2F9E" w:rsidRDefault="00BC168F" w:rsidP="00BC168F">
            <w:pPr>
              <w:jc w:val="center"/>
              <w:rPr>
                <w:b/>
                <w:i/>
                <w:color w:val="FFFFFF" w:themeColor="background1"/>
                <w:sz w:val="20"/>
                <w:szCs w:val="20"/>
              </w:rPr>
            </w:pPr>
            <w:r w:rsidRPr="009B2F9E">
              <w:rPr>
                <w:b/>
                <w:i/>
                <w:color w:val="FFFFFF" w:themeColor="background1"/>
                <w:sz w:val="20"/>
                <w:szCs w:val="20"/>
              </w:rPr>
              <w:t xml:space="preserve">Date </w:t>
            </w:r>
          </w:p>
        </w:tc>
        <w:tc>
          <w:tcPr>
            <w:tcW w:w="3260" w:type="dxa"/>
            <w:vMerge w:val="restart"/>
            <w:shd w:val="clear" w:color="auto" w:fill="4F81BD" w:themeFill="accent1"/>
          </w:tcPr>
          <w:p w14:paraId="09D29E78" w14:textId="77777777" w:rsidR="00BC168F" w:rsidRPr="009B2F9E" w:rsidRDefault="00BC168F" w:rsidP="00BC168F">
            <w:pPr>
              <w:jc w:val="center"/>
              <w:rPr>
                <w:b/>
                <w:i/>
                <w:color w:val="FFFFFF" w:themeColor="background1"/>
                <w:sz w:val="12"/>
                <w:szCs w:val="20"/>
              </w:rPr>
            </w:pPr>
          </w:p>
          <w:p w14:paraId="7016112C" w14:textId="77777777" w:rsidR="00BC168F" w:rsidRPr="009B2F9E" w:rsidRDefault="00BC168F" w:rsidP="00BC168F">
            <w:pPr>
              <w:jc w:val="center"/>
              <w:rPr>
                <w:b/>
                <w:i/>
                <w:color w:val="FFFFFF" w:themeColor="background1"/>
                <w:sz w:val="20"/>
                <w:szCs w:val="20"/>
              </w:rPr>
            </w:pPr>
            <w:r w:rsidRPr="009B2F9E">
              <w:rPr>
                <w:b/>
                <w:i/>
                <w:color w:val="FFFFFF" w:themeColor="background1"/>
                <w:sz w:val="20"/>
                <w:szCs w:val="20"/>
              </w:rPr>
              <w:t xml:space="preserve">Signed </w:t>
            </w:r>
          </w:p>
        </w:tc>
        <w:tc>
          <w:tcPr>
            <w:tcW w:w="284" w:type="dxa"/>
            <w:vMerge w:val="restart"/>
            <w:tcBorders>
              <w:top w:val="double" w:sz="4" w:space="0" w:color="FFFFFF" w:themeColor="background1"/>
            </w:tcBorders>
            <w:shd w:val="clear" w:color="auto" w:fill="auto"/>
          </w:tcPr>
          <w:p w14:paraId="199DABF0" w14:textId="77777777" w:rsidR="00BC168F" w:rsidRPr="00F25F29" w:rsidRDefault="00BC168F" w:rsidP="00BC168F">
            <w:pPr>
              <w:jc w:val="center"/>
              <w:rPr>
                <w:b/>
                <w:i/>
                <w:sz w:val="20"/>
                <w:szCs w:val="20"/>
              </w:rPr>
            </w:pPr>
          </w:p>
        </w:tc>
        <w:tc>
          <w:tcPr>
            <w:tcW w:w="2693" w:type="dxa"/>
            <w:tcBorders>
              <w:bottom w:val="double" w:sz="4" w:space="0" w:color="BFBFBF" w:themeColor="background1" w:themeShade="BF"/>
            </w:tcBorders>
            <w:shd w:val="clear" w:color="auto" w:fill="D9D9D9" w:themeFill="background1" w:themeFillShade="D9"/>
          </w:tcPr>
          <w:p w14:paraId="50D9DFD7" w14:textId="37C6E926" w:rsidR="00BC168F" w:rsidRPr="00F25F29" w:rsidRDefault="00BC168F" w:rsidP="00BC168F">
            <w:pPr>
              <w:rPr>
                <w:sz w:val="20"/>
                <w:szCs w:val="20"/>
              </w:rPr>
            </w:pPr>
          </w:p>
        </w:tc>
        <w:tc>
          <w:tcPr>
            <w:tcW w:w="1843" w:type="dxa"/>
            <w:tcBorders>
              <w:bottom w:val="double" w:sz="4" w:space="0" w:color="BFBFBF" w:themeColor="background1" w:themeShade="BF"/>
            </w:tcBorders>
            <w:shd w:val="clear" w:color="auto" w:fill="auto"/>
          </w:tcPr>
          <w:p w14:paraId="516D2A26" w14:textId="58A1F6D7" w:rsidR="00BC168F" w:rsidRPr="00F25F29" w:rsidRDefault="00BC168F" w:rsidP="00BC168F">
            <w:pPr>
              <w:jc w:val="center"/>
              <w:rPr>
                <w:sz w:val="20"/>
                <w:szCs w:val="20"/>
              </w:rPr>
            </w:pPr>
          </w:p>
        </w:tc>
      </w:tr>
      <w:tr w:rsidR="00BC168F" w:rsidRPr="00F25F29" w14:paraId="56B24961" w14:textId="77777777" w:rsidTr="009B2F9E">
        <w:trPr>
          <w:trHeight w:val="81"/>
        </w:trPr>
        <w:tc>
          <w:tcPr>
            <w:tcW w:w="3198" w:type="dxa"/>
            <w:vMerge/>
            <w:shd w:val="clear" w:color="auto" w:fill="4F81BD" w:themeFill="accent1"/>
          </w:tcPr>
          <w:p w14:paraId="0F55B7F1" w14:textId="77777777" w:rsidR="00BC168F" w:rsidRPr="00F25F29" w:rsidRDefault="00BC168F" w:rsidP="00BC168F">
            <w:pPr>
              <w:rPr>
                <w:b/>
                <w:sz w:val="20"/>
                <w:szCs w:val="20"/>
              </w:rPr>
            </w:pPr>
          </w:p>
        </w:tc>
        <w:tc>
          <w:tcPr>
            <w:tcW w:w="2854" w:type="dxa"/>
            <w:vMerge/>
            <w:shd w:val="clear" w:color="auto" w:fill="4F81BD" w:themeFill="accent1"/>
          </w:tcPr>
          <w:p w14:paraId="667E5DB5" w14:textId="77777777" w:rsidR="00BC168F" w:rsidRPr="00F25F29" w:rsidRDefault="00BC168F" w:rsidP="00BC168F">
            <w:pPr>
              <w:jc w:val="center"/>
              <w:rPr>
                <w:b/>
                <w:i/>
                <w:sz w:val="20"/>
                <w:szCs w:val="20"/>
              </w:rPr>
            </w:pPr>
          </w:p>
        </w:tc>
        <w:tc>
          <w:tcPr>
            <w:tcW w:w="1540" w:type="dxa"/>
            <w:vMerge/>
            <w:tcBorders>
              <w:top w:val="double" w:sz="4" w:space="0" w:color="A6A6A6" w:themeColor="background1" w:themeShade="A6"/>
            </w:tcBorders>
            <w:shd w:val="clear" w:color="auto" w:fill="4F81BD" w:themeFill="accent1"/>
          </w:tcPr>
          <w:p w14:paraId="18DDDBB2" w14:textId="77777777" w:rsidR="00BC168F" w:rsidRPr="00F25F29" w:rsidRDefault="00BC168F" w:rsidP="00BC168F">
            <w:pPr>
              <w:jc w:val="center"/>
              <w:rPr>
                <w:b/>
                <w:i/>
                <w:sz w:val="20"/>
                <w:szCs w:val="20"/>
              </w:rPr>
            </w:pPr>
          </w:p>
        </w:tc>
        <w:tc>
          <w:tcPr>
            <w:tcW w:w="3260" w:type="dxa"/>
            <w:vMerge/>
            <w:shd w:val="clear" w:color="auto" w:fill="4F81BD" w:themeFill="accent1"/>
          </w:tcPr>
          <w:p w14:paraId="12420792" w14:textId="77777777" w:rsidR="00BC168F" w:rsidRPr="00F25F29" w:rsidRDefault="00BC168F" w:rsidP="00BC168F">
            <w:pPr>
              <w:jc w:val="center"/>
              <w:rPr>
                <w:b/>
                <w:i/>
                <w:sz w:val="20"/>
                <w:szCs w:val="20"/>
              </w:rPr>
            </w:pPr>
          </w:p>
        </w:tc>
        <w:tc>
          <w:tcPr>
            <w:tcW w:w="284" w:type="dxa"/>
            <w:vMerge/>
            <w:tcBorders>
              <w:top w:val="double" w:sz="4" w:space="0" w:color="A6A6A6" w:themeColor="background1" w:themeShade="A6"/>
              <w:bottom w:val="double" w:sz="4" w:space="0" w:color="FFFFFF" w:themeColor="background1"/>
              <w:right w:val="double" w:sz="4" w:space="0" w:color="BFBFBF" w:themeColor="background1" w:themeShade="BF"/>
            </w:tcBorders>
            <w:shd w:val="clear" w:color="auto" w:fill="auto"/>
          </w:tcPr>
          <w:p w14:paraId="0A291F98" w14:textId="77777777" w:rsidR="00BC168F" w:rsidRPr="00F25F29" w:rsidRDefault="00BC168F" w:rsidP="00BC168F">
            <w:pPr>
              <w:jc w:val="center"/>
              <w:rPr>
                <w:b/>
                <w:i/>
                <w:sz w:val="20"/>
                <w:szCs w:val="20"/>
              </w:rPr>
            </w:pPr>
          </w:p>
        </w:tc>
        <w:tc>
          <w:tcPr>
            <w:tcW w:w="269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tcPr>
          <w:p w14:paraId="66ADBC7E" w14:textId="64EB3AAF" w:rsidR="00BC168F" w:rsidRPr="00F25F29" w:rsidRDefault="00BC168F" w:rsidP="00BC168F">
            <w:pPr>
              <w:rPr>
                <w:sz w:val="20"/>
                <w:szCs w:val="20"/>
              </w:rPr>
            </w:pPr>
          </w:p>
        </w:tc>
        <w:tc>
          <w:tcPr>
            <w:tcW w:w="184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tcPr>
          <w:p w14:paraId="32252968" w14:textId="58877377" w:rsidR="00BC168F" w:rsidRPr="00F25F29" w:rsidRDefault="00BC168F" w:rsidP="00BC168F">
            <w:pPr>
              <w:jc w:val="center"/>
              <w:rPr>
                <w:sz w:val="20"/>
                <w:szCs w:val="20"/>
              </w:rPr>
            </w:pPr>
          </w:p>
        </w:tc>
      </w:tr>
      <w:tr w:rsidR="00E4067F" w:rsidRPr="00F25F29" w14:paraId="56A03C65" w14:textId="77777777" w:rsidTr="00820BC6">
        <w:tc>
          <w:tcPr>
            <w:tcW w:w="3198" w:type="dxa"/>
            <w:shd w:val="clear" w:color="auto" w:fill="F2F2F2" w:themeFill="background1" w:themeFillShade="F2"/>
          </w:tcPr>
          <w:p w14:paraId="63BB3F00" w14:textId="6609B8AD" w:rsidR="00E4067F" w:rsidRPr="00F25F29" w:rsidRDefault="00E4067F" w:rsidP="00E4067F">
            <w:pPr>
              <w:rPr>
                <w:sz w:val="20"/>
                <w:szCs w:val="20"/>
              </w:rPr>
            </w:pPr>
          </w:p>
        </w:tc>
        <w:tc>
          <w:tcPr>
            <w:tcW w:w="2854" w:type="dxa"/>
          </w:tcPr>
          <w:p w14:paraId="216CC622" w14:textId="3CA3769A" w:rsidR="00E4067F" w:rsidRPr="00F25F29" w:rsidRDefault="00E4067F" w:rsidP="00E4067F">
            <w:pPr>
              <w:rPr>
                <w:sz w:val="20"/>
                <w:szCs w:val="20"/>
              </w:rPr>
            </w:pPr>
          </w:p>
        </w:tc>
        <w:tc>
          <w:tcPr>
            <w:tcW w:w="1540" w:type="dxa"/>
          </w:tcPr>
          <w:p w14:paraId="64F9C5BD" w14:textId="544C8CBE" w:rsidR="00E4067F" w:rsidRPr="00F25F29" w:rsidRDefault="00E4067F" w:rsidP="00E4067F">
            <w:pPr>
              <w:rPr>
                <w:sz w:val="20"/>
                <w:szCs w:val="20"/>
              </w:rPr>
            </w:pPr>
          </w:p>
        </w:tc>
        <w:tc>
          <w:tcPr>
            <w:tcW w:w="3260" w:type="dxa"/>
            <w:shd w:val="clear" w:color="auto" w:fill="auto"/>
          </w:tcPr>
          <w:p w14:paraId="5D23D720" w14:textId="77777777" w:rsidR="00E4067F" w:rsidRPr="00F25F29" w:rsidRDefault="00E4067F" w:rsidP="00E4067F">
            <w:pPr>
              <w:rPr>
                <w:sz w:val="20"/>
                <w:szCs w:val="20"/>
              </w:rPr>
            </w:pPr>
          </w:p>
        </w:tc>
        <w:tc>
          <w:tcPr>
            <w:tcW w:w="284" w:type="dxa"/>
            <w:tcBorders>
              <w:top w:val="double" w:sz="4" w:space="0" w:color="FFFFFF" w:themeColor="background1"/>
              <w:bottom w:val="double" w:sz="4" w:space="0" w:color="FFFFFF" w:themeColor="background1"/>
              <w:right w:val="double" w:sz="4" w:space="0" w:color="FFFFFF" w:themeColor="background1"/>
            </w:tcBorders>
          </w:tcPr>
          <w:p w14:paraId="4300BCF1" w14:textId="77777777" w:rsidR="00E4067F" w:rsidRPr="00F25F29" w:rsidRDefault="00E4067F" w:rsidP="00E4067F">
            <w:pPr>
              <w:rPr>
                <w:sz w:val="20"/>
                <w:szCs w:val="20"/>
              </w:rPr>
            </w:pPr>
          </w:p>
        </w:tc>
        <w:tc>
          <w:tcPr>
            <w:tcW w:w="2693" w:type="dxa"/>
            <w:tcBorders>
              <w:top w:val="double" w:sz="4" w:space="0" w:color="BFBFBF" w:themeColor="background1" w:themeShade="BF"/>
              <w:left w:val="double" w:sz="4" w:space="0" w:color="FFFFFF" w:themeColor="background1"/>
              <w:bottom w:val="double" w:sz="4" w:space="0" w:color="FFFFFF" w:themeColor="background1"/>
              <w:right w:val="double" w:sz="4" w:space="0" w:color="FFFFFF" w:themeColor="background1"/>
            </w:tcBorders>
            <w:shd w:val="clear" w:color="auto" w:fill="auto"/>
          </w:tcPr>
          <w:p w14:paraId="0E5D4CFC" w14:textId="77777777" w:rsidR="00E4067F" w:rsidRPr="00F25F29" w:rsidRDefault="00E4067F" w:rsidP="00E4067F">
            <w:pPr>
              <w:rPr>
                <w:sz w:val="20"/>
                <w:szCs w:val="20"/>
              </w:rPr>
            </w:pPr>
          </w:p>
        </w:tc>
        <w:tc>
          <w:tcPr>
            <w:tcW w:w="1843" w:type="dxa"/>
            <w:tcBorders>
              <w:top w:val="double" w:sz="4" w:space="0" w:color="BFBFBF" w:themeColor="background1" w:themeShade="BF"/>
              <w:left w:val="double" w:sz="4" w:space="0" w:color="FFFFFF" w:themeColor="background1"/>
              <w:bottom w:val="double" w:sz="4" w:space="0" w:color="FFFFFF" w:themeColor="background1"/>
              <w:right w:val="double" w:sz="4" w:space="0" w:color="FFFFFF" w:themeColor="background1"/>
            </w:tcBorders>
            <w:shd w:val="clear" w:color="auto" w:fill="auto"/>
          </w:tcPr>
          <w:p w14:paraId="2C5F1473" w14:textId="77777777" w:rsidR="00E4067F" w:rsidRPr="00F25F29" w:rsidRDefault="00E4067F" w:rsidP="00E4067F">
            <w:pPr>
              <w:rPr>
                <w:sz w:val="20"/>
                <w:szCs w:val="20"/>
              </w:rPr>
            </w:pPr>
          </w:p>
        </w:tc>
      </w:tr>
      <w:tr w:rsidR="00E4067F" w:rsidRPr="00F25F29" w14:paraId="60E85BA3" w14:textId="77777777" w:rsidTr="00820BC6">
        <w:tc>
          <w:tcPr>
            <w:tcW w:w="3198" w:type="dxa"/>
            <w:shd w:val="clear" w:color="auto" w:fill="F2F2F2" w:themeFill="background1" w:themeFillShade="F2"/>
          </w:tcPr>
          <w:p w14:paraId="5C39C682" w14:textId="4ECC7892" w:rsidR="00E4067F" w:rsidRPr="00F25F29" w:rsidRDefault="00E4067F" w:rsidP="00E4067F">
            <w:pPr>
              <w:rPr>
                <w:sz w:val="20"/>
                <w:szCs w:val="20"/>
              </w:rPr>
            </w:pPr>
          </w:p>
        </w:tc>
        <w:tc>
          <w:tcPr>
            <w:tcW w:w="2854" w:type="dxa"/>
          </w:tcPr>
          <w:p w14:paraId="2F813E92" w14:textId="1DFEB0AC" w:rsidR="00E4067F" w:rsidRPr="00F25F29" w:rsidRDefault="00E4067F" w:rsidP="00E4067F">
            <w:pPr>
              <w:rPr>
                <w:sz w:val="20"/>
                <w:szCs w:val="20"/>
              </w:rPr>
            </w:pPr>
          </w:p>
        </w:tc>
        <w:tc>
          <w:tcPr>
            <w:tcW w:w="1540" w:type="dxa"/>
          </w:tcPr>
          <w:p w14:paraId="0C4A3C9C" w14:textId="17C034DC" w:rsidR="00E4067F" w:rsidRPr="00F25F29" w:rsidRDefault="00E4067F" w:rsidP="00E4067F">
            <w:pPr>
              <w:rPr>
                <w:sz w:val="20"/>
                <w:szCs w:val="20"/>
              </w:rPr>
            </w:pPr>
          </w:p>
        </w:tc>
        <w:tc>
          <w:tcPr>
            <w:tcW w:w="3260" w:type="dxa"/>
            <w:shd w:val="clear" w:color="auto" w:fill="auto"/>
          </w:tcPr>
          <w:p w14:paraId="1703F0C9" w14:textId="77777777" w:rsidR="00E4067F" w:rsidRPr="00F25F29" w:rsidRDefault="00E4067F" w:rsidP="00E4067F">
            <w:pPr>
              <w:rPr>
                <w:sz w:val="20"/>
                <w:szCs w:val="20"/>
              </w:rPr>
            </w:pPr>
          </w:p>
        </w:tc>
        <w:tc>
          <w:tcPr>
            <w:tcW w:w="284" w:type="dxa"/>
            <w:tcBorders>
              <w:top w:val="double" w:sz="4" w:space="0" w:color="FFFFFF" w:themeColor="background1"/>
              <w:bottom w:val="double" w:sz="4" w:space="0" w:color="FFFFFF" w:themeColor="background1"/>
              <w:right w:val="double" w:sz="4" w:space="0" w:color="FFFFFF" w:themeColor="background1"/>
            </w:tcBorders>
          </w:tcPr>
          <w:p w14:paraId="0D3906C5" w14:textId="77777777" w:rsidR="00E4067F" w:rsidRPr="00F25F29" w:rsidRDefault="00E4067F" w:rsidP="00E4067F">
            <w:pPr>
              <w:rPr>
                <w:sz w:val="20"/>
                <w:szCs w:val="20"/>
              </w:rPr>
            </w:pPr>
          </w:p>
        </w:tc>
        <w:tc>
          <w:tcPr>
            <w:tcW w:w="2693"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uto"/>
          </w:tcPr>
          <w:p w14:paraId="5FC56C6F" w14:textId="77777777" w:rsidR="00E4067F" w:rsidRPr="00F25F29" w:rsidRDefault="00E4067F" w:rsidP="00E4067F">
            <w:pPr>
              <w:rPr>
                <w:sz w:val="20"/>
                <w:szCs w:val="20"/>
              </w:rPr>
            </w:pPr>
          </w:p>
        </w:tc>
        <w:tc>
          <w:tcPr>
            <w:tcW w:w="1843"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uto"/>
          </w:tcPr>
          <w:p w14:paraId="33DDD95C" w14:textId="77777777" w:rsidR="00E4067F" w:rsidRPr="00F25F29" w:rsidRDefault="00E4067F" w:rsidP="00E4067F">
            <w:pPr>
              <w:rPr>
                <w:sz w:val="20"/>
                <w:szCs w:val="20"/>
              </w:rPr>
            </w:pPr>
          </w:p>
        </w:tc>
      </w:tr>
      <w:tr w:rsidR="00E4067F" w:rsidRPr="00F25F29" w14:paraId="176307CB" w14:textId="77777777" w:rsidTr="00820BC6">
        <w:tc>
          <w:tcPr>
            <w:tcW w:w="3198" w:type="dxa"/>
            <w:shd w:val="clear" w:color="auto" w:fill="F2F2F2" w:themeFill="background1" w:themeFillShade="F2"/>
          </w:tcPr>
          <w:p w14:paraId="4D10656A" w14:textId="7ABB05B3" w:rsidR="00E4067F" w:rsidRPr="00F25F29" w:rsidRDefault="00E4067F" w:rsidP="00E4067F">
            <w:pPr>
              <w:rPr>
                <w:sz w:val="20"/>
                <w:szCs w:val="20"/>
              </w:rPr>
            </w:pPr>
          </w:p>
        </w:tc>
        <w:tc>
          <w:tcPr>
            <w:tcW w:w="2854" w:type="dxa"/>
          </w:tcPr>
          <w:p w14:paraId="090F6E40" w14:textId="153A5AD3" w:rsidR="00E4067F" w:rsidRPr="00F25F29" w:rsidRDefault="00E4067F" w:rsidP="00E4067F">
            <w:pPr>
              <w:tabs>
                <w:tab w:val="center" w:pos="1319"/>
              </w:tabs>
              <w:rPr>
                <w:sz w:val="20"/>
                <w:szCs w:val="20"/>
              </w:rPr>
            </w:pPr>
          </w:p>
        </w:tc>
        <w:tc>
          <w:tcPr>
            <w:tcW w:w="1540" w:type="dxa"/>
          </w:tcPr>
          <w:p w14:paraId="30053F74" w14:textId="43B89B9C" w:rsidR="00E4067F" w:rsidRPr="00F25F29" w:rsidRDefault="00E4067F" w:rsidP="00E4067F">
            <w:pPr>
              <w:rPr>
                <w:sz w:val="20"/>
                <w:szCs w:val="20"/>
              </w:rPr>
            </w:pPr>
          </w:p>
        </w:tc>
        <w:tc>
          <w:tcPr>
            <w:tcW w:w="3260" w:type="dxa"/>
            <w:shd w:val="clear" w:color="auto" w:fill="auto"/>
          </w:tcPr>
          <w:p w14:paraId="54601371" w14:textId="77777777" w:rsidR="00E4067F" w:rsidRPr="00F25F29" w:rsidRDefault="00E4067F" w:rsidP="00E4067F">
            <w:pPr>
              <w:rPr>
                <w:sz w:val="20"/>
                <w:szCs w:val="20"/>
              </w:rPr>
            </w:pPr>
          </w:p>
        </w:tc>
        <w:tc>
          <w:tcPr>
            <w:tcW w:w="284" w:type="dxa"/>
            <w:tcBorders>
              <w:top w:val="double" w:sz="4" w:space="0" w:color="FFFFFF" w:themeColor="background1"/>
              <w:bottom w:val="double" w:sz="4" w:space="0" w:color="FFFFFF" w:themeColor="background1"/>
              <w:right w:val="double" w:sz="4" w:space="0" w:color="FFFFFF" w:themeColor="background1"/>
            </w:tcBorders>
          </w:tcPr>
          <w:p w14:paraId="04D6A8C7" w14:textId="77777777" w:rsidR="00E4067F" w:rsidRPr="00F25F29" w:rsidRDefault="00E4067F" w:rsidP="00E4067F">
            <w:pPr>
              <w:rPr>
                <w:sz w:val="20"/>
                <w:szCs w:val="20"/>
              </w:rPr>
            </w:pPr>
          </w:p>
        </w:tc>
        <w:tc>
          <w:tcPr>
            <w:tcW w:w="2693"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uto"/>
          </w:tcPr>
          <w:p w14:paraId="3A157BC9" w14:textId="77777777" w:rsidR="00E4067F" w:rsidRPr="00F25F29" w:rsidRDefault="00E4067F" w:rsidP="00E4067F">
            <w:pPr>
              <w:rPr>
                <w:sz w:val="20"/>
                <w:szCs w:val="20"/>
              </w:rPr>
            </w:pPr>
          </w:p>
        </w:tc>
        <w:tc>
          <w:tcPr>
            <w:tcW w:w="1843"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uto"/>
          </w:tcPr>
          <w:p w14:paraId="653AAF46" w14:textId="77777777" w:rsidR="00E4067F" w:rsidRPr="00F25F29" w:rsidRDefault="00E4067F" w:rsidP="00E4067F">
            <w:pPr>
              <w:rPr>
                <w:sz w:val="20"/>
                <w:szCs w:val="20"/>
              </w:rPr>
            </w:pPr>
          </w:p>
        </w:tc>
      </w:tr>
    </w:tbl>
    <w:p w14:paraId="4D2EB7C9" w14:textId="77777777" w:rsidR="00F25F29" w:rsidRPr="00E81168" w:rsidRDefault="00AF6E7B" w:rsidP="00AF6E7B">
      <w:pPr>
        <w:tabs>
          <w:tab w:val="left" w:pos="10155"/>
        </w:tabs>
        <w:rPr>
          <w:rFonts w:ascii="Verdana" w:hAnsi="Verdana"/>
          <w:color w:val="FF0000"/>
          <w:sz w:val="16"/>
          <w:szCs w:val="16"/>
        </w:rPr>
      </w:pPr>
      <w:r>
        <w:rPr>
          <w:rFonts w:ascii="Verdana" w:hAnsi="Verdana"/>
          <w:color w:val="FF0000"/>
          <w:sz w:val="16"/>
          <w:szCs w:val="16"/>
        </w:rPr>
        <w:tab/>
      </w:r>
    </w:p>
    <w:sectPr w:rsidR="00F25F29" w:rsidRPr="00E81168" w:rsidSect="00AF6E7B">
      <w:headerReference w:type="default" r:id="rId8"/>
      <w:footerReference w:type="default" r:id="rId9"/>
      <w:pgSz w:w="16839" w:h="11907" w:orient="landscape" w:code="9"/>
      <w:pgMar w:top="720" w:right="449" w:bottom="720" w:left="720" w:header="419"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043C" w14:textId="77777777" w:rsidR="0061701B" w:rsidRDefault="0061701B" w:rsidP="00BF109D">
      <w:pPr>
        <w:spacing w:after="0" w:line="240" w:lineRule="auto"/>
      </w:pPr>
      <w:r>
        <w:separator/>
      </w:r>
    </w:p>
  </w:endnote>
  <w:endnote w:type="continuationSeparator" w:id="0">
    <w:p w14:paraId="6B1EC036" w14:textId="77777777" w:rsidR="0061701B" w:rsidRDefault="0061701B" w:rsidP="00BF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647C" w14:textId="77777777" w:rsidR="0061701B" w:rsidRPr="00AF6E7B" w:rsidRDefault="0061701B" w:rsidP="00AF6E7B">
    <w:pPr>
      <w:pStyle w:val="Footer"/>
      <w:tabs>
        <w:tab w:val="left" w:pos="4845"/>
      </w:tabs>
      <w:rPr>
        <w:rFonts w:ascii="Verdana" w:hAnsi="Verdana"/>
        <w:sz w:val="6"/>
      </w:rPr>
    </w:pPr>
    <w:r>
      <w:rPr>
        <w:rFonts w:ascii="Verdana" w:hAnsi="Verdana"/>
        <w:sz w:val="14"/>
      </w:rPr>
      <w:tab/>
    </w:r>
  </w:p>
  <w:p w14:paraId="0704A897" w14:textId="2CD7023F" w:rsidR="0061701B" w:rsidRPr="003E283F" w:rsidRDefault="00B02749">
    <w:pPr>
      <w:pStyle w:val="Footer"/>
      <w:rPr>
        <w:i/>
        <w:sz w:val="16"/>
      </w:rPr>
    </w:pPr>
    <w:r>
      <w:rPr>
        <w:sz w:val="16"/>
      </w:rPr>
      <w:tab/>
    </w:r>
    <w:r>
      <w:rPr>
        <w:sz w:val="16"/>
      </w:rPr>
      <w:tab/>
    </w:r>
    <w:r>
      <w:rPr>
        <w:sz w:val="16"/>
      </w:rPr>
      <w:tab/>
    </w:r>
    <w:r w:rsidR="0061701B" w:rsidRPr="003E283F">
      <w:rPr>
        <w:sz w:val="16"/>
      </w:rPr>
      <w:tab/>
    </w:r>
    <w:r w:rsidR="0061701B" w:rsidRPr="003E283F">
      <w:rPr>
        <w:sz w:val="16"/>
      </w:rPr>
      <w:tab/>
    </w:r>
    <w:r w:rsidR="0061701B" w:rsidRPr="003E283F">
      <w:rPr>
        <w:sz w:val="16"/>
      </w:rPr>
      <w:tab/>
    </w:r>
    <w:r w:rsidR="0061701B" w:rsidRPr="003E283F">
      <w:rPr>
        <w:sz w:val="16"/>
      </w:rPr>
      <w:tab/>
    </w:r>
    <w:r w:rsidR="0061701B" w:rsidRPr="003E283F">
      <w:rPr>
        <w:sz w:val="16"/>
      </w:rPr>
      <w:tab/>
    </w:r>
    <w:r w:rsidR="0061701B" w:rsidRPr="003E283F">
      <w:rPr>
        <w:sz w:val="16"/>
      </w:rPr>
      <w:tab/>
      <w:t xml:space="preserve">Page </w:t>
    </w:r>
    <w:r w:rsidR="0061701B" w:rsidRPr="003E283F">
      <w:rPr>
        <w:sz w:val="16"/>
      </w:rPr>
      <w:fldChar w:fldCharType="begin"/>
    </w:r>
    <w:r w:rsidR="0061701B" w:rsidRPr="003E283F">
      <w:rPr>
        <w:sz w:val="16"/>
      </w:rPr>
      <w:instrText xml:space="preserve"> PAGE   \* MERGEFORMAT </w:instrText>
    </w:r>
    <w:r w:rsidR="0061701B" w:rsidRPr="003E283F">
      <w:rPr>
        <w:sz w:val="16"/>
      </w:rPr>
      <w:fldChar w:fldCharType="separate"/>
    </w:r>
    <w:r w:rsidR="0061701B">
      <w:rPr>
        <w:noProof/>
        <w:sz w:val="16"/>
      </w:rPr>
      <w:t>38</w:t>
    </w:r>
    <w:r w:rsidR="0061701B" w:rsidRPr="003E283F">
      <w:rPr>
        <w:sz w:val="16"/>
      </w:rPr>
      <w:fldChar w:fldCharType="end"/>
    </w:r>
    <w:r w:rsidR="0061701B" w:rsidRPr="003E283F">
      <w:rPr>
        <w:sz w:val="16"/>
      </w:rPr>
      <w:t xml:space="preserve"> of </w:t>
    </w:r>
    <w:r w:rsidR="0061701B" w:rsidRPr="003E283F">
      <w:rPr>
        <w:sz w:val="16"/>
      </w:rPr>
      <w:fldChar w:fldCharType="begin"/>
    </w:r>
    <w:r w:rsidR="0061701B" w:rsidRPr="003E283F">
      <w:rPr>
        <w:sz w:val="16"/>
      </w:rPr>
      <w:instrText xml:space="preserve"> NUMPAGES   \* MERGEFORMAT </w:instrText>
    </w:r>
    <w:r w:rsidR="0061701B" w:rsidRPr="003E283F">
      <w:rPr>
        <w:sz w:val="16"/>
      </w:rPr>
      <w:fldChar w:fldCharType="separate"/>
    </w:r>
    <w:r w:rsidR="0061701B">
      <w:rPr>
        <w:noProof/>
        <w:sz w:val="16"/>
      </w:rPr>
      <w:t>38</w:t>
    </w:r>
    <w:r w:rsidR="0061701B" w:rsidRPr="003E283F">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22B8C" w14:textId="77777777" w:rsidR="0061701B" w:rsidRDefault="0061701B" w:rsidP="00BF109D">
      <w:pPr>
        <w:spacing w:after="0" w:line="240" w:lineRule="auto"/>
      </w:pPr>
      <w:r>
        <w:separator/>
      </w:r>
    </w:p>
  </w:footnote>
  <w:footnote w:type="continuationSeparator" w:id="0">
    <w:p w14:paraId="139C614D" w14:textId="77777777" w:rsidR="0061701B" w:rsidRDefault="0061701B" w:rsidP="00BF1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6A36" w14:textId="49DE3E4E" w:rsidR="0061701B" w:rsidRPr="00C46EAF" w:rsidRDefault="0061701B" w:rsidP="007B7899">
    <w:pPr>
      <w:ind w:right="219"/>
      <w:rPr>
        <w:rFonts w:ascii="Verdana" w:hAnsi="Verdana"/>
        <w:color w:val="808080" w:themeColor="background1" w:themeShade="80"/>
      </w:rPr>
    </w:pPr>
    <w:r w:rsidRPr="00C46EAF">
      <w:rPr>
        <w:rFonts w:ascii="Verdana" w:hAnsi="Verdana"/>
        <w:b/>
        <w:noProof/>
        <w:color w:val="808080" w:themeColor="background1" w:themeShade="80"/>
        <w:sz w:val="24"/>
        <w:lang w:eastAsia="en-GB"/>
      </w:rPr>
      <w:t>RSH</w:t>
    </w:r>
    <w:r w:rsidRPr="00C46EAF">
      <w:rPr>
        <w:rFonts w:ascii="Verdana" w:hAnsi="Verdana"/>
        <w:b/>
        <w:color w:val="808080" w:themeColor="background1" w:themeShade="80"/>
        <w:sz w:val="24"/>
      </w:rPr>
      <w:t xml:space="preserve"> National standards compliance summary – Governance &amp; Financial Viability Standard </w:t>
    </w:r>
    <w:r w:rsidRPr="00C46EAF">
      <w:rPr>
        <w:rFonts w:ascii="Verdana" w:hAnsi="Verdana"/>
        <w:b/>
        <w:color w:val="808080" w:themeColor="background1" w:themeShade="80"/>
        <w:sz w:val="24"/>
      </w:rPr>
      <w:tab/>
    </w:r>
    <w:r w:rsidRPr="00C46EAF">
      <w:rPr>
        <w:rFonts w:ascii="Verdana" w:hAnsi="Verdana"/>
        <w:b/>
        <w:color w:val="808080" w:themeColor="background1" w:themeShade="80"/>
        <w:sz w:val="20"/>
      </w:rPr>
      <w:tab/>
    </w:r>
    <w:r w:rsidRPr="00C46EAF">
      <w:rPr>
        <w:rFonts w:ascii="Verdana" w:hAnsi="Verdana"/>
        <w:b/>
        <w:color w:val="808080" w:themeColor="background1" w:themeShade="80"/>
      </w:rPr>
      <w:t xml:space="preserve">Quarter </w:t>
    </w:r>
    <w:r w:rsidR="00FA2EA5">
      <w:rPr>
        <w:rFonts w:ascii="Verdana" w:hAnsi="Verdana"/>
        <w:b/>
        <w:color w:val="808080" w:themeColor="background1" w:themeShade="80"/>
      </w:rPr>
      <w:t>4</w:t>
    </w:r>
    <w:r>
      <w:rPr>
        <w:rFonts w:ascii="Verdana" w:hAnsi="Verdana"/>
        <w:b/>
        <w:color w:val="808080" w:themeColor="background1" w:themeShade="80"/>
      </w:rPr>
      <w:t xml:space="preserve"> 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AD2"/>
    <w:multiLevelType w:val="hybridMultilevel"/>
    <w:tmpl w:val="C1D0C77C"/>
    <w:lvl w:ilvl="0" w:tplc="2D20974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73724"/>
    <w:multiLevelType w:val="hybridMultilevel"/>
    <w:tmpl w:val="116C9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0E444C"/>
    <w:multiLevelType w:val="hybridMultilevel"/>
    <w:tmpl w:val="A8E0136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125C54"/>
    <w:multiLevelType w:val="hybridMultilevel"/>
    <w:tmpl w:val="505E7F7A"/>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311F83"/>
    <w:multiLevelType w:val="hybridMultilevel"/>
    <w:tmpl w:val="1C508FAC"/>
    <w:lvl w:ilvl="0" w:tplc="108893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46DD6"/>
    <w:multiLevelType w:val="hybridMultilevel"/>
    <w:tmpl w:val="74D0B0E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406FA3"/>
    <w:multiLevelType w:val="hybridMultilevel"/>
    <w:tmpl w:val="0832D82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95202E"/>
    <w:multiLevelType w:val="hybridMultilevel"/>
    <w:tmpl w:val="5D04E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7122CD"/>
    <w:multiLevelType w:val="hybridMultilevel"/>
    <w:tmpl w:val="DAAEF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9C004A"/>
    <w:multiLevelType w:val="hybridMultilevel"/>
    <w:tmpl w:val="898C417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C2456F"/>
    <w:multiLevelType w:val="hybridMultilevel"/>
    <w:tmpl w:val="EB444EF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804355"/>
    <w:multiLevelType w:val="hybridMultilevel"/>
    <w:tmpl w:val="C87CEAFE"/>
    <w:lvl w:ilvl="0" w:tplc="C4A0DB18">
      <w:start w:val="1"/>
      <w:numFmt w:val="bullet"/>
      <w:pStyle w:val="-bullets"/>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1B88650E"/>
    <w:multiLevelType w:val="hybridMultilevel"/>
    <w:tmpl w:val="9F1C7C9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CF518D3"/>
    <w:multiLevelType w:val="hybridMultilevel"/>
    <w:tmpl w:val="096E3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32231F"/>
    <w:multiLevelType w:val="hybridMultilevel"/>
    <w:tmpl w:val="2E6A13A2"/>
    <w:lvl w:ilvl="0" w:tplc="28B287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38656E"/>
    <w:multiLevelType w:val="hybridMultilevel"/>
    <w:tmpl w:val="CEDA1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F82ACF"/>
    <w:multiLevelType w:val="hybridMultilevel"/>
    <w:tmpl w:val="21FC0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77026"/>
    <w:multiLevelType w:val="hybridMultilevel"/>
    <w:tmpl w:val="6CBC0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4119C9"/>
    <w:multiLevelType w:val="hybridMultilevel"/>
    <w:tmpl w:val="A220419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82C483C"/>
    <w:multiLevelType w:val="hybridMultilevel"/>
    <w:tmpl w:val="A2C27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A3977F5"/>
    <w:multiLevelType w:val="hybridMultilevel"/>
    <w:tmpl w:val="D4AC8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A83641"/>
    <w:multiLevelType w:val="hybridMultilevel"/>
    <w:tmpl w:val="5254D5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784479"/>
    <w:multiLevelType w:val="hybridMultilevel"/>
    <w:tmpl w:val="36D05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C71C59"/>
    <w:multiLevelType w:val="hybridMultilevel"/>
    <w:tmpl w:val="5200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573C9"/>
    <w:multiLevelType w:val="hybridMultilevel"/>
    <w:tmpl w:val="90569A24"/>
    <w:lvl w:ilvl="0" w:tplc="2D20974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AE707D"/>
    <w:multiLevelType w:val="hybridMultilevel"/>
    <w:tmpl w:val="52CA6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494A30"/>
    <w:multiLevelType w:val="hybridMultilevel"/>
    <w:tmpl w:val="C84EF8E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6F232C6"/>
    <w:multiLevelType w:val="hybridMultilevel"/>
    <w:tmpl w:val="269486E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757488E"/>
    <w:multiLevelType w:val="hybridMultilevel"/>
    <w:tmpl w:val="21CABC30"/>
    <w:lvl w:ilvl="0" w:tplc="28B287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86527A3"/>
    <w:multiLevelType w:val="hybridMultilevel"/>
    <w:tmpl w:val="40741902"/>
    <w:lvl w:ilvl="0" w:tplc="102819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96395D"/>
    <w:multiLevelType w:val="hybridMultilevel"/>
    <w:tmpl w:val="428C5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DB64B5"/>
    <w:multiLevelType w:val="hybridMultilevel"/>
    <w:tmpl w:val="98625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E0B706F"/>
    <w:multiLevelType w:val="hybridMultilevel"/>
    <w:tmpl w:val="3A5889F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37928D9"/>
    <w:multiLevelType w:val="hybridMultilevel"/>
    <w:tmpl w:val="2B4ECF6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558776C"/>
    <w:multiLevelType w:val="hybridMultilevel"/>
    <w:tmpl w:val="567AD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6DB13BB"/>
    <w:multiLevelType w:val="hybridMultilevel"/>
    <w:tmpl w:val="3A620F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B9307F"/>
    <w:multiLevelType w:val="hybridMultilevel"/>
    <w:tmpl w:val="C00E61E0"/>
    <w:lvl w:ilvl="0" w:tplc="08090011">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8F93922"/>
    <w:multiLevelType w:val="hybridMultilevel"/>
    <w:tmpl w:val="20FA6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9D41F4F"/>
    <w:multiLevelType w:val="hybridMultilevel"/>
    <w:tmpl w:val="A844E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C162DBC"/>
    <w:multiLevelType w:val="hybridMultilevel"/>
    <w:tmpl w:val="E7949AFC"/>
    <w:lvl w:ilvl="0" w:tplc="4598455A">
      <w:start w:val="1"/>
      <w:numFmt w:val="bullet"/>
      <w:lvlText w:val="o"/>
      <w:lvlJc w:val="left"/>
      <w:pPr>
        <w:ind w:left="720" w:hanging="360"/>
      </w:pPr>
      <w:rPr>
        <w:rFonts w:ascii="Courier New" w:hAnsi="Courier New" w:cs="Courier New"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857862"/>
    <w:multiLevelType w:val="hybridMultilevel"/>
    <w:tmpl w:val="C67E5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EA54B89"/>
    <w:multiLevelType w:val="hybridMultilevel"/>
    <w:tmpl w:val="AA18C618"/>
    <w:lvl w:ilvl="0" w:tplc="2D20974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4D4D6B"/>
    <w:multiLevelType w:val="hybridMultilevel"/>
    <w:tmpl w:val="7AD01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1A7468F"/>
    <w:multiLevelType w:val="hybridMultilevel"/>
    <w:tmpl w:val="91F84BCC"/>
    <w:lvl w:ilvl="0" w:tplc="08090003">
      <w:start w:val="1"/>
      <w:numFmt w:val="bullet"/>
      <w:lvlText w:val="o"/>
      <w:lvlJc w:val="left"/>
      <w:pPr>
        <w:ind w:left="360" w:hanging="360"/>
      </w:pPr>
      <w:rPr>
        <w:rFonts w:ascii="Courier New" w:hAnsi="Courier New" w:cs="Courier New" w:hint="default"/>
        <w:color w:val="auto"/>
      </w:rPr>
    </w:lvl>
    <w:lvl w:ilvl="1" w:tplc="F3884E06">
      <w:numFmt w:val="bullet"/>
      <w:lvlText w:val=""/>
      <w:lvlJc w:val="left"/>
      <w:pPr>
        <w:ind w:left="1080" w:hanging="360"/>
      </w:pPr>
      <w:rPr>
        <w:rFonts w:ascii="Symbol" w:eastAsiaTheme="minorHAnsi" w:hAnsi="Symbol"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2084527"/>
    <w:multiLevelType w:val="hybridMultilevel"/>
    <w:tmpl w:val="5A52922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2317B26"/>
    <w:multiLevelType w:val="hybridMultilevel"/>
    <w:tmpl w:val="5F0CA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2322085"/>
    <w:multiLevelType w:val="hybridMultilevel"/>
    <w:tmpl w:val="74BE38F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3953971"/>
    <w:multiLevelType w:val="hybridMultilevel"/>
    <w:tmpl w:val="85B268E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7220268"/>
    <w:multiLevelType w:val="hybridMultilevel"/>
    <w:tmpl w:val="1B54B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7575C05"/>
    <w:multiLevelType w:val="hybridMultilevel"/>
    <w:tmpl w:val="9A7AA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D460BD9"/>
    <w:multiLevelType w:val="hybridMultilevel"/>
    <w:tmpl w:val="6F9E9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D640F95"/>
    <w:multiLevelType w:val="hybridMultilevel"/>
    <w:tmpl w:val="38569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EAE0CE7"/>
    <w:multiLevelType w:val="hybridMultilevel"/>
    <w:tmpl w:val="4D78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FDC45E8"/>
    <w:multiLevelType w:val="hybridMultilevel"/>
    <w:tmpl w:val="4A34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1CD3B76"/>
    <w:multiLevelType w:val="hybridMultilevel"/>
    <w:tmpl w:val="B6845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3410D97"/>
    <w:multiLevelType w:val="hybridMultilevel"/>
    <w:tmpl w:val="F2E26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4B656E7"/>
    <w:multiLevelType w:val="hybridMultilevel"/>
    <w:tmpl w:val="E1B6C754"/>
    <w:lvl w:ilvl="0" w:tplc="28B287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613450B"/>
    <w:multiLevelType w:val="hybridMultilevel"/>
    <w:tmpl w:val="FA0E7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8D90896"/>
    <w:multiLevelType w:val="hybridMultilevel"/>
    <w:tmpl w:val="CE505912"/>
    <w:lvl w:ilvl="0" w:tplc="28B287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91B0B1C"/>
    <w:multiLevelType w:val="hybridMultilevel"/>
    <w:tmpl w:val="C2FCF7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A05753"/>
    <w:multiLevelType w:val="hybridMultilevel"/>
    <w:tmpl w:val="73D0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B7254CF"/>
    <w:multiLevelType w:val="hybridMultilevel"/>
    <w:tmpl w:val="80BC1082"/>
    <w:lvl w:ilvl="0" w:tplc="2D20974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C72220F"/>
    <w:multiLevelType w:val="hybridMultilevel"/>
    <w:tmpl w:val="A60499E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6CE00EA3"/>
    <w:multiLevelType w:val="hybridMultilevel"/>
    <w:tmpl w:val="617AD9E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6D592D7C"/>
    <w:multiLevelType w:val="hybridMultilevel"/>
    <w:tmpl w:val="A9082178"/>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D703286"/>
    <w:multiLevelType w:val="hybridMultilevel"/>
    <w:tmpl w:val="018CDACE"/>
    <w:lvl w:ilvl="0" w:tplc="2D20974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E393DA8"/>
    <w:multiLevelType w:val="hybridMultilevel"/>
    <w:tmpl w:val="C28C0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EC13CA7"/>
    <w:multiLevelType w:val="hybridMultilevel"/>
    <w:tmpl w:val="2020DB4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70746504"/>
    <w:multiLevelType w:val="hybridMultilevel"/>
    <w:tmpl w:val="055CF42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718C67C6"/>
    <w:multiLevelType w:val="hybridMultilevel"/>
    <w:tmpl w:val="F4E6B344"/>
    <w:lvl w:ilvl="0" w:tplc="28B287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229687B"/>
    <w:multiLevelType w:val="hybridMultilevel"/>
    <w:tmpl w:val="518CF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339348E"/>
    <w:multiLevelType w:val="hybridMultilevel"/>
    <w:tmpl w:val="1A5A7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73A549E4"/>
    <w:multiLevelType w:val="hybridMultilevel"/>
    <w:tmpl w:val="D55CBF72"/>
    <w:lvl w:ilvl="0" w:tplc="28B287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82026ED"/>
    <w:multiLevelType w:val="hybridMultilevel"/>
    <w:tmpl w:val="F4C03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8A648B0"/>
    <w:multiLevelType w:val="hybridMultilevel"/>
    <w:tmpl w:val="B1FCC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7CE52D07"/>
    <w:multiLevelType w:val="hybridMultilevel"/>
    <w:tmpl w:val="71FAE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7FCB5D3B"/>
    <w:multiLevelType w:val="hybridMultilevel"/>
    <w:tmpl w:val="EA28B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4"/>
  </w:num>
  <w:num w:numId="2">
    <w:abstractNumId w:val="43"/>
  </w:num>
  <w:num w:numId="3">
    <w:abstractNumId w:val="3"/>
  </w:num>
  <w:num w:numId="4">
    <w:abstractNumId w:val="39"/>
  </w:num>
  <w:num w:numId="5">
    <w:abstractNumId w:val="29"/>
  </w:num>
  <w:num w:numId="6">
    <w:abstractNumId w:val="45"/>
  </w:num>
  <w:num w:numId="7">
    <w:abstractNumId w:val="30"/>
  </w:num>
  <w:num w:numId="8">
    <w:abstractNumId w:val="61"/>
  </w:num>
  <w:num w:numId="9">
    <w:abstractNumId w:val="65"/>
  </w:num>
  <w:num w:numId="10">
    <w:abstractNumId w:val="41"/>
  </w:num>
  <w:num w:numId="11">
    <w:abstractNumId w:val="0"/>
  </w:num>
  <w:num w:numId="12">
    <w:abstractNumId w:val="11"/>
  </w:num>
  <w:num w:numId="13">
    <w:abstractNumId w:val="24"/>
  </w:num>
  <w:num w:numId="14">
    <w:abstractNumId w:val="13"/>
  </w:num>
  <w:num w:numId="15">
    <w:abstractNumId w:val="74"/>
  </w:num>
  <w:num w:numId="16">
    <w:abstractNumId w:val="57"/>
  </w:num>
  <w:num w:numId="17">
    <w:abstractNumId w:val="60"/>
  </w:num>
  <w:num w:numId="18">
    <w:abstractNumId w:val="31"/>
  </w:num>
  <w:num w:numId="19">
    <w:abstractNumId w:val="4"/>
  </w:num>
  <w:num w:numId="20">
    <w:abstractNumId w:val="54"/>
  </w:num>
  <w:num w:numId="21">
    <w:abstractNumId w:val="51"/>
  </w:num>
  <w:num w:numId="22">
    <w:abstractNumId w:val="53"/>
  </w:num>
  <w:num w:numId="23">
    <w:abstractNumId w:val="71"/>
  </w:num>
  <w:num w:numId="24">
    <w:abstractNumId w:val="19"/>
  </w:num>
  <w:num w:numId="25">
    <w:abstractNumId w:val="22"/>
  </w:num>
  <w:num w:numId="26">
    <w:abstractNumId w:val="8"/>
  </w:num>
  <w:num w:numId="27">
    <w:abstractNumId w:val="16"/>
  </w:num>
  <w:num w:numId="28">
    <w:abstractNumId w:val="66"/>
  </w:num>
  <w:num w:numId="29">
    <w:abstractNumId w:val="20"/>
  </w:num>
  <w:num w:numId="30">
    <w:abstractNumId w:val="40"/>
  </w:num>
  <w:num w:numId="31">
    <w:abstractNumId w:val="73"/>
  </w:num>
  <w:num w:numId="32">
    <w:abstractNumId w:val="76"/>
  </w:num>
  <w:num w:numId="33">
    <w:abstractNumId w:val="35"/>
  </w:num>
  <w:num w:numId="34">
    <w:abstractNumId w:val="21"/>
  </w:num>
  <w:num w:numId="35">
    <w:abstractNumId w:val="17"/>
  </w:num>
  <w:num w:numId="36">
    <w:abstractNumId w:val="38"/>
  </w:num>
  <w:num w:numId="37">
    <w:abstractNumId w:val="28"/>
  </w:num>
  <w:num w:numId="38">
    <w:abstractNumId w:val="58"/>
  </w:num>
  <w:num w:numId="39">
    <w:abstractNumId w:val="69"/>
  </w:num>
  <w:num w:numId="40">
    <w:abstractNumId w:val="56"/>
  </w:num>
  <w:num w:numId="41">
    <w:abstractNumId w:val="75"/>
  </w:num>
  <w:num w:numId="42">
    <w:abstractNumId w:val="14"/>
  </w:num>
  <w:num w:numId="43">
    <w:abstractNumId w:val="48"/>
  </w:num>
  <w:num w:numId="44">
    <w:abstractNumId w:val="1"/>
  </w:num>
  <w:num w:numId="45">
    <w:abstractNumId w:val="25"/>
  </w:num>
  <w:num w:numId="46">
    <w:abstractNumId w:val="59"/>
  </w:num>
  <w:num w:numId="47">
    <w:abstractNumId w:val="50"/>
  </w:num>
  <w:num w:numId="48">
    <w:abstractNumId w:val="49"/>
  </w:num>
  <w:num w:numId="49">
    <w:abstractNumId w:val="37"/>
  </w:num>
  <w:num w:numId="50">
    <w:abstractNumId w:val="42"/>
  </w:num>
  <w:num w:numId="51">
    <w:abstractNumId w:val="34"/>
  </w:num>
  <w:num w:numId="52">
    <w:abstractNumId w:val="23"/>
  </w:num>
  <w:num w:numId="53">
    <w:abstractNumId w:val="15"/>
  </w:num>
  <w:num w:numId="54">
    <w:abstractNumId w:val="72"/>
  </w:num>
  <w:num w:numId="55">
    <w:abstractNumId w:val="55"/>
  </w:num>
  <w:num w:numId="56">
    <w:abstractNumId w:val="52"/>
  </w:num>
  <w:num w:numId="57">
    <w:abstractNumId w:val="47"/>
  </w:num>
  <w:num w:numId="58">
    <w:abstractNumId w:val="33"/>
  </w:num>
  <w:num w:numId="59">
    <w:abstractNumId w:val="12"/>
  </w:num>
  <w:num w:numId="60">
    <w:abstractNumId w:val="5"/>
  </w:num>
  <w:num w:numId="61">
    <w:abstractNumId w:val="62"/>
  </w:num>
  <w:num w:numId="62">
    <w:abstractNumId w:val="70"/>
  </w:num>
  <w:num w:numId="63">
    <w:abstractNumId w:val="63"/>
  </w:num>
  <w:num w:numId="64">
    <w:abstractNumId w:val="36"/>
  </w:num>
  <w:num w:numId="65">
    <w:abstractNumId w:val="18"/>
  </w:num>
  <w:num w:numId="66">
    <w:abstractNumId w:val="68"/>
  </w:num>
  <w:num w:numId="67">
    <w:abstractNumId w:val="44"/>
  </w:num>
  <w:num w:numId="68">
    <w:abstractNumId w:val="7"/>
  </w:num>
  <w:num w:numId="69">
    <w:abstractNumId w:val="67"/>
  </w:num>
  <w:num w:numId="70">
    <w:abstractNumId w:val="32"/>
  </w:num>
  <w:num w:numId="71">
    <w:abstractNumId w:val="6"/>
  </w:num>
  <w:num w:numId="72">
    <w:abstractNumId w:val="46"/>
  </w:num>
  <w:num w:numId="73">
    <w:abstractNumId w:val="10"/>
  </w:num>
  <w:num w:numId="74">
    <w:abstractNumId w:val="26"/>
  </w:num>
  <w:num w:numId="75">
    <w:abstractNumId w:val="27"/>
  </w:num>
  <w:num w:numId="76">
    <w:abstractNumId w:val="2"/>
  </w:num>
  <w:num w:numId="77">
    <w:abstractNumId w:val="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9D"/>
    <w:rsid w:val="00010FDF"/>
    <w:rsid w:val="00013E49"/>
    <w:rsid w:val="00020C83"/>
    <w:rsid w:val="000241A2"/>
    <w:rsid w:val="0003241D"/>
    <w:rsid w:val="000464CB"/>
    <w:rsid w:val="00054A75"/>
    <w:rsid w:val="00064B89"/>
    <w:rsid w:val="0007062B"/>
    <w:rsid w:val="00072B5C"/>
    <w:rsid w:val="00074BA7"/>
    <w:rsid w:val="000765E0"/>
    <w:rsid w:val="000765F5"/>
    <w:rsid w:val="00081AB9"/>
    <w:rsid w:val="000844D1"/>
    <w:rsid w:val="00092744"/>
    <w:rsid w:val="000943D7"/>
    <w:rsid w:val="000A1BD3"/>
    <w:rsid w:val="000A357A"/>
    <w:rsid w:val="000A4FCD"/>
    <w:rsid w:val="000A7D42"/>
    <w:rsid w:val="000B24B0"/>
    <w:rsid w:val="000B533B"/>
    <w:rsid w:val="000C6212"/>
    <w:rsid w:val="000C6976"/>
    <w:rsid w:val="000E5839"/>
    <w:rsid w:val="000F3819"/>
    <w:rsid w:val="000F6E27"/>
    <w:rsid w:val="001001BA"/>
    <w:rsid w:val="001052C6"/>
    <w:rsid w:val="00105B3F"/>
    <w:rsid w:val="00106558"/>
    <w:rsid w:val="001067C8"/>
    <w:rsid w:val="001135F8"/>
    <w:rsid w:val="00113766"/>
    <w:rsid w:val="001223FC"/>
    <w:rsid w:val="001225F2"/>
    <w:rsid w:val="00124EC9"/>
    <w:rsid w:val="00125A7D"/>
    <w:rsid w:val="001263E5"/>
    <w:rsid w:val="00130C64"/>
    <w:rsid w:val="00142BAC"/>
    <w:rsid w:val="00143C10"/>
    <w:rsid w:val="001453A6"/>
    <w:rsid w:val="0015042D"/>
    <w:rsid w:val="001555E0"/>
    <w:rsid w:val="00155DA1"/>
    <w:rsid w:val="00161158"/>
    <w:rsid w:val="00161DB6"/>
    <w:rsid w:val="00165303"/>
    <w:rsid w:val="0016639C"/>
    <w:rsid w:val="001668EB"/>
    <w:rsid w:val="0017116B"/>
    <w:rsid w:val="001719AE"/>
    <w:rsid w:val="00172454"/>
    <w:rsid w:val="0017779D"/>
    <w:rsid w:val="001866D5"/>
    <w:rsid w:val="001976FD"/>
    <w:rsid w:val="001A1858"/>
    <w:rsid w:val="001A1ECC"/>
    <w:rsid w:val="001A4BAB"/>
    <w:rsid w:val="001A5389"/>
    <w:rsid w:val="001A7A93"/>
    <w:rsid w:val="001A7B67"/>
    <w:rsid w:val="001B09E8"/>
    <w:rsid w:val="001B488A"/>
    <w:rsid w:val="001B6246"/>
    <w:rsid w:val="001C081E"/>
    <w:rsid w:val="001C3022"/>
    <w:rsid w:val="001C7A06"/>
    <w:rsid w:val="001C7E66"/>
    <w:rsid w:val="001D130E"/>
    <w:rsid w:val="001E264E"/>
    <w:rsid w:val="001E4EE2"/>
    <w:rsid w:val="001F3A83"/>
    <w:rsid w:val="001F43A7"/>
    <w:rsid w:val="001F450A"/>
    <w:rsid w:val="00207EB6"/>
    <w:rsid w:val="00216FDE"/>
    <w:rsid w:val="00224D4A"/>
    <w:rsid w:val="00226B01"/>
    <w:rsid w:val="002270D9"/>
    <w:rsid w:val="00241302"/>
    <w:rsid w:val="00241ABC"/>
    <w:rsid w:val="00242275"/>
    <w:rsid w:val="00252851"/>
    <w:rsid w:val="002542BF"/>
    <w:rsid w:val="002559CD"/>
    <w:rsid w:val="0026776D"/>
    <w:rsid w:val="00271F6C"/>
    <w:rsid w:val="00273B36"/>
    <w:rsid w:val="002779F7"/>
    <w:rsid w:val="00283A2C"/>
    <w:rsid w:val="00283A41"/>
    <w:rsid w:val="00283AF3"/>
    <w:rsid w:val="0028663E"/>
    <w:rsid w:val="002866AA"/>
    <w:rsid w:val="0028772F"/>
    <w:rsid w:val="0029635A"/>
    <w:rsid w:val="00297E38"/>
    <w:rsid w:val="002A0A61"/>
    <w:rsid w:val="002A26E4"/>
    <w:rsid w:val="002B01FA"/>
    <w:rsid w:val="002B089E"/>
    <w:rsid w:val="002B27CF"/>
    <w:rsid w:val="002B36DB"/>
    <w:rsid w:val="002B45CA"/>
    <w:rsid w:val="002B4A2B"/>
    <w:rsid w:val="002B4B21"/>
    <w:rsid w:val="002C12CA"/>
    <w:rsid w:val="002C2AA4"/>
    <w:rsid w:val="002D32F6"/>
    <w:rsid w:val="002E1B4C"/>
    <w:rsid w:val="002E2089"/>
    <w:rsid w:val="002F100C"/>
    <w:rsid w:val="0030408B"/>
    <w:rsid w:val="00307EDE"/>
    <w:rsid w:val="003105A0"/>
    <w:rsid w:val="00313B3E"/>
    <w:rsid w:val="0031596F"/>
    <w:rsid w:val="003200FB"/>
    <w:rsid w:val="003231DF"/>
    <w:rsid w:val="00323C5A"/>
    <w:rsid w:val="003246F6"/>
    <w:rsid w:val="00324AD5"/>
    <w:rsid w:val="00331310"/>
    <w:rsid w:val="00334F59"/>
    <w:rsid w:val="00340FA9"/>
    <w:rsid w:val="00343022"/>
    <w:rsid w:val="003436E6"/>
    <w:rsid w:val="003437D3"/>
    <w:rsid w:val="00351B99"/>
    <w:rsid w:val="00353542"/>
    <w:rsid w:val="00356250"/>
    <w:rsid w:val="00357F33"/>
    <w:rsid w:val="003603E4"/>
    <w:rsid w:val="0036219D"/>
    <w:rsid w:val="003670FE"/>
    <w:rsid w:val="00371E0C"/>
    <w:rsid w:val="00374BC1"/>
    <w:rsid w:val="00380DAB"/>
    <w:rsid w:val="0038642B"/>
    <w:rsid w:val="00387266"/>
    <w:rsid w:val="0039368E"/>
    <w:rsid w:val="00395049"/>
    <w:rsid w:val="003A2999"/>
    <w:rsid w:val="003A3CC5"/>
    <w:rsid w:val="003A4882"/>
    <w:rsid w:val="003B1445"/>
    <w:rsid w:val="003B5517"/>
    <w:rsid w:val="003C457C"/>
    <w:rsid w:val="003D1DB1"/>
    <w:rsid w:val="003D2767"/>
    <w:rsid w:val="003D2904"/>
    <w:rsid w:val="003D63E4"/>
    <w:rsid w:val="003D6E49"/>
    <w:rsid w:val="003E283F"/>
    <w:rsid w:val="0040707C"/>
    <w:rsid w:val="004170E8"/>
    <w:rsid w:val="0042121E"/>
    <w:rsid w:val="00422A56"/>
    <w:rsid w:val="004258F3"/>
    <w:rsid w:val="00425E50"/>
    <w:rsid w:val="00427E3F"/>
    <w:rsid w:val="00436B5D"/>
    <w:rsid w:val="004465BA"/>
    <w:rsid w:val="004478D0"/>
    <w:rsid w:val="00453699"/>
    <w:rsid w:val="00461BC5"/>
    <w:rsid w:val="00462B2F"/>
    <w:rsid w:val="004645CF"/>
    <w:rsid w:val="004659A4"/>
    <w:rsid w:val="004674E5"/>
    <w:rsid w:val="004743E4"/>
    <w:rsid w:val="00476988"/>
    <w:rsid w:val="004773E6"/>
    <w:rsid w:val="00485BDF"/>
    <w:rsid w:val="00485CCB"/>
    <w:rsid w:val="00490C8E"/>
    <w:rsid w:val="004930F6"/>
    <w:rsid w:val="00494F75"/>
    <w:rsid w:val="004A067E"/>
    <w:rsid w:val="004A1879"/>
    <w:rsid w:val="004A6E18"/>
    <w:rsid w:val="004B31E8"/>
    <w:rsid w:val="004B3457"/>
    <w:rsid w:val="004B5DE5"/>
    <w:rsid w:val="004D3B67"/>
    <w:rsid w:val="004D76CB"/>
    <w:rsid w:val="004F2C18"/>
    <w:rsid w:val="005030D4"/>
    <w:rsid w:val="005044AD"/>
    <w:rsid w:val="00510279"/>
    <w:rsid w:val="00513D06"/>
    <w:rsid w:val="00517D22"/>
    <w:rsid w:val="00530794"/>
    <w:rsid w:val="00532855"/>
    <w:rsid w:val="00532B74"/>
    <w:rsid w:val="00535CF0"/>
    <w:rsid w:val="005363FA"/>
    <w:rsid w:val="00542DFB"/>
    <w:rsid w:val="005452FB"/>
    <w:rsid w:val="00550908"/>
    <w:rsid w:val="00557BB7"/>
    <w:rsid w:val="00562A38"/>
    <w:rsid w:val="00570EE3"/>
    <w:rsid w:val="00575AFE"/>
    <w:rsid w:val="00580865"/>
    <w:rsid w:val="00583CC1"/>
    <w:rsid w:val="0058510C"/>
    <w:rsid w:val="0059152B"/>
    <w:rsid w:val="00591E2F"/>
    <w:rsid w:val="00595890"/>
    <w:rsid w:val="00597D57"/>
    <w:rsid w:val="005A252E"/>
    <w:rsid w:val="005A309F"/>
    <w:rsid w:val="005A3E5F"/>
    <w:rsid w:val="005B1EE0"/>
    <w:rsid w:val="005B2C0F"/>
    <w:rsid w:val="005B5766"/>
    <w:rsid w:val="005B7D90"/>
    <w:rsid w:val="005C0B9A"/>
    <w:rsid w:val="005C17B3"/>
    <w:rsid w:val="005C1DCF"/>
    <w:rsid w:val="005C3A29"/>
    <w:rsid w:val="005C53CC"/>
    <w:rsid w:val="005C6AE2"/>
    <w:rsid w:val="005C700A"/>
    <w:rsid w:val="005D3063"/>
    <w:rsid w:val="005D6909"/>
    <w:rsid w:val="005D6D32"/>
    <w:rsid w:val="005E11A8"/>
    <w:rsid w:val="005E6CD5"/>
    <w:rsid w:val="005F5682"/>
    <w:rsid w:val="005F65E3"/>
    <w:rsid w:val="006001FA"/>
    <w:rsid w:val="00606F43"/>
    <w:rsid w:val="00612138"/>
    <w:rsid w:val="0061701B"/>
    <w:rsid w:val="006212FB"/>
    <w:rsid w:val="00624AD4"/>
    <w:rsid w:val="006355C7"/>
    <w:rsid w:val="00635852"/>
    <w:rsid w:val="00645C5D"/>
    <w:rsid w:val="00646D5C"/>
    <w:rsid w:val="00650909"/>
    <w:rsid w:val="0065295E"/>
    <w:rsid w:val="006560CF"/>
    <w:rsid w:val="00660FFA"/>
    <w:rsid w:val="00670680"/>
    <w:rsid w:val="0067383A"/>
    <w:rsid w:val="00673C60"/>
    <w:rsid w:val="0067753F"/>
    <w:rsid w:val="00681048"/>
    <w:rsid w:val="006930E9"/>
    <w:rsid w:val="00694565"/>
    <w:rsid w:val="006A248C"/>
    <w:rsid w:val="006A2E08"/>
    <w:rsid w:val="006A7E4E"/>
    <w:rsid w:val="006B0055"/>
    <w:rsid w:val="006B0A07"/>
    <w:rsid w:val="006B3807"/>
    <w:rsid w:val="006B70CF"/>
    <w:rsid w:val="006C1C35"/>
    <w:rsid w:val="006C4D64"/>
    <w:rsid w:val="006D0C9B"/>
    <w:rsid w:val="006D2DE5"/>
    <w:rsid w:val="006D49E3"/>
    <w:rsid w:val="006D49EB"/>
    <w:rsid w:val="006D5A0E"/>
    <w:rsid w:val="006E0591"/>
    <w:rsid w:val="006E322F"/>
    <w:rsid w:val="006F115F"/>
    <w:rsid w:val="006F7151"/>
    <w:rsid w:val="006F75CB"/>
    <w:rsid w:val="0072270D"/>
    <w:rsid w:val="00730C21"/>
    <w:rsid w:val="00734825"/>
    <w:rsid w:val="00735870"/>
    <w:rsid w:val="00741E89"/>
    <w:rsid w:val="00744113"/>
    <w:rsid w:val="0074681B"/>
    <w:rsid w:val="00747BD2"/>
    <w:rsid w:val="007509AB"/>
    <w:rsid w:val="0075129A"/>
    <w:rsid w:val="007521E9"/>
    <w:rsid w:val="00752EC3"/>
    <w:rsid w:val="0075507C"/>
    <w:rsid w:val="00763F36"/>
    <w:rsid w:val="007655F6"/>
    <w:rsid w:val="007711AA"/>
    <w:rsid w:val="00774754"/>
    <w:rsid w:val="00792885"/>
    <w:rsid w:val="00795B47"/>
    <w:rsid w:val="00795F35"/>
    <w:rsid w:val="007A14D7"/>
    <w:rsid w:val="007A1D22"/>
    <w:rsid w:val="007B5185"/>
    <w:rsid w:val="007B613C"/>
    <w:rsid w:val="007B7899"/>
    <w:rsid w:val="007C0E02"/>
    <w:rsid w:val="007C21FB"/>
    <w:rsid w:val="007C357B"/>
    <w:rsid w:val="007D067F"/>
    <w:rsid w:val="007D2A09"/>
    <w:rsid w:val="007D2D13"/>
    <w:rsid w:val="007E38A7"/>
    <w:rsid w:val="007E4C03"/>
    <w:rsid w:val="00802AC3"/>
    <w:rsid w:val="008116A1"/>
    <w:rsid w:val="00813344"/>
    <w:rsid w:val="00815357"/>
    <w:rsid w:val="00815A42"/>
    <w:rsid w:val="0081618C"/>
    <w:rsid w:val="00820BC6"/>
    <w:rsid w:val="008228D9"/>
    <w:rsid w:val="00823A6A"/>
    <w:rsid w:val="00833D5B"/>
    <w:rsid w:val="00840CD5"/>
    <w:rsid w:val="00847C36"/>
    <w:rsid w:val="00851FEA"/>
    <w:rsid w:val="008566B6"/>
    <w:rsid w:val="008577E4"/>
    <w:rsid w:val="008647F2"/>
    <w:rsid w:val="00865352"/>
    <w:rsid w:val="00866DD7"/>
    <w:rsid w:val="00875F64"/>
    <w:rsid w:val="008777F2"/>
    <w:rsid w:val="00877A10"/>
    <w:rsid w:val="00883538"/>
    <w:rsid w:val="00883677"/>
    <w:rsid w:val="00884990"/>
    <w:rsid w:val="00887DCD"/>
    <w:rsid w:val="00896904"/>
    <w:rsid w:val="00896F6C"/>
    <w:rsid w:val="0089784B"/>
    <w:rsid w:val="008A0A38"/>
    <w:rsid w:val="008A787B"/>
    <w:rsid w:val="008B5DB2"/>
    <w:rsid w:val="008B7FCD"/>
    <w:rsid w:val="008C1336"/>
    <w:rsid w:val="008C2BE9"/>
    <w:rsid w:val="008C7B8F"/>
    <w:rsid w:val="008D7158"/>
    <w:rsid w:val="008D7644"/>
    <w:rsid w:val="008E0C02"/>
    <w:rsid w:val="008E3133"/>
    <w:rsid w:val="008E4097"/>
    <w:rsid w:val="008F1C26"/>
    <w:rsid w:val="008F603E"/>
    <w:rsid w:val="009025FA"/>
    <w:rsid w:val="009125D1"/>
    <w:rsid w:val="0091662D"/>
    <w:rsid w:val="00923352"/>
    <w:rsid w:val="00924365"/>
    <w:rsid w:val="0095199F"/>
    <w:rsid w:val="00954884"/>
    <w:rsid w:val="0096593F"/>
    <w:rsid w:val="00965998"/>
    <w:rsid w:val="009772F2"/>
    <w:rsid w:val="00981469"/>
    <w:rsid w:val="00981E04"/>
    <w:rsid w:val="00982639"/>
    <w:rsid w:val="00983BDC"/>
    <w:rsid w:val="00983BE0"/>
    <w:rsid w:val="00984B4C"/>
    <w:rsid w:val="00984EF4"/>
    <w:rsid w:val="00985DC8"/>
    <w:rsid w:val="00986345"/>
    <w:rsid w:val="0099204B"/>
    <w:rsid w:val="00992907"/>
    <w:rsid w:val="009A29E2"/>
    <w:rsid w:val="009A31A6"/>
    <w:rsid w:val="009A6DA3"/>
    <w:rsid w:val="009B071A"/>
    <w:rsid w:val="009B2F9E"/>
    <w:rsid w:val="009B772C"/>
    <w:rsid w:val="009C566B"/>
    <w:rsid w:val="009D2FAA"/>
    <w:rsid w:val="009D40B8"/>
    <w:rsid w:val="009E3069"/>
    <w:rsid w:val="009F3BCB"/>
    <w:rsid w:val="009F5AB2"/>
    <w:rsid w:val="00A0049B"/>
    <w:rsid w:val="00A04934"/>
    <w:rsid w:val="00A11FD4"/>
    <w:rsid w:val="00A17537"/>
    <w:rsid w:val="00A259B7"/>
    <w:rsid w:val="00A302E4"/>
    <w:rsid w:val="00A30630"/>
    <w:rsid w:val="00A33BFE"/>
    <w:rsid w:val="00A37FCC"/>
    <w:rsid w:val="00A43D63"/>
    <w:rsid w:val="00A44CCD"/>
    <w:rsid w:val="00A548EA"/>
    <w:rsid w:val="00A615FC"/>
    <w:rsid w:val="00A708A4"/>
    <w:rsid w:val="00A74A71"/>
    <w:rsid w:val="00A74C5C"/>
    <w:rsid w:val="00A836DE"/>
    <w:rsid w:val="00A83D42"/>
    <w:rsid w:val="00A861A4"/>
    <w:rsid w:val="00A86C96"/>
    <w:rsid w:val="00A948B6"/>
    <w:rsid w:val="00AB0B5A"/>
    <w:rsid w:val="00AB1124"/>
    <w:rsid w:val="00AB2022"/>
    <w:rsid w:val="00AB60AA"/>
    <w:rsid w:val="00AC46A0"/>
    <w:rsid w:val="00AC67A0"/>
    <w:rsid w:val="00AC74D6"/>
    <w:rsid w:val="00AD4FF1"/>
    <w:rsid w:val="00AD6D81"/>
    <w:rsid w:val="00AF0653"/>
    <w:rsid w:val="00AF2A88"/>
    <w:rsid w:val="00AF34B4"/>
    <w:rsid w:val="00AF4077"/>
    <w:rsid w:val="00AF5542"/>
    <w:rsid w:val="00AF6E7B"/>
    <w:rsid w:val="00B00AC4"/>
    <w:rsid w:val="00B02749"/>
    <w:rsid w:val="00B045D3"/>
    <w:rsid w:val="00B116EB"/>
    <w:rsid w:val="00B14ABE"/>
    <w:rsid w:val="00B1784E"/>
    <w:rsid w:val="00B24622"/>
    <w:rsid w:val="00B317F8"/>
    <w:rsid w:val="00B37DBF"/>
    <w:rsid w:val="00B5205E"/>
    <w:rsid w:val="00B52DD7"/>
    <w:rsid w:val="00B56E19"/>
    <w:rsid w:val="00B6243D"/>
    <w:rsid w:val="00B63707"/>
    <w:rsid w:val="00B63F3B"/>
    <w:rsid w:val="00B64329"/>
    <w:rsid w:val="00B64E8D"/>
    <w:rsid w:val="00B66956"/>
    <w:rsid w:val="00B67BBD"/>
    <w:rsid w:val="00B730E7"/>
    <w:rsid w:val="00B80A15"/>
    <w:rsid w:val="00BA1A71"/>
    <w:rsid w:val="00BA6C89"/>
    <w:rsid w:val="00BC168F"/>
    <w:rsid w:val="00BC16EB"/>
    <w:rsid w:val="00BC184F"/>
    <w:rsid w:val="00BC3279"/>
    <w:rsid w:val="00BC4629"/>
    <w:rsid w:val="00BD0BBA"/>
    <w:rsid w:val="00BD62B4"/>
    <w:rsid w:val="00BE0EEB"/>
    <w:rsid w:val="00BE1CC7"/>
    <w:rsid w:val="00BE5E8C"/>
    <w:rsid w:val="00BE790A"/>
    <w:rsid w:val="00BF009F"/>
    <w:rsid w:val="00BF109D"/>
    <w:rsid w:val="00BF1231"/>
    <w:rsid w:val="00BF1D45"/>
    <w:rsid w:val="00BF5D1C"/>
    <w:rsid w:val="00C00F04"/>
    <w:rsid w:val="00C0249A"/>
    <w:rsid w:val="00C037CD"/>
    <w:rsid w:val="00C0633E"/>
    <w:rsid w:val="00C11DC4"/>
    <w:rsid w:val="00C14955"/>
    <w:rsid w:val="00C2731C"/>
    <w:rsid w:val="00C30D6D"/>
    <w:rsid w:val="00C32060"/>
    <w:rsid w:val="00C32223"/>
    <w:rsid w:val="00C32CEE"/>
    <w:rsid w:val="00C32D80"/>
    <w:rsid w:val="00C33DEB"/>
    <w:rsid w:val="00C36828"/>
    <w:rsid w:val="00C37BB6"/>
    <w:rsid w:val="00C412FF"/>
    <w:rsid w:val="00C445F8"/>
    <w:rsid w:val="00C46EAF"/>
    <w:rsid w:val="00C532D1"/>
    <w:rsid w:val="00C56626"/>
    <w:rsid w:val="00C608A6"/>
    <w:rsid w:val="00C62806"/>
    <w:rsid w:val="00C74B5F"/>
    <w:rsid w:val="00C80030"/>
    <w:rsid w:val="00C8018C"/>
    <w:rsid w:val="00C81332"/>
    <w:rsid w:val="00C8715D"/>
    <w:rsid w:val="00C92450"/>
    <w:rsid w:val="00C93B70"/>
    <w:rsid w:val="00C9429D"/>
    <w:rsid w:val="00CA0B2C"/>
    <w:rsid w:val="00CA6478"/>
    <w:rsid w:val="00CB22ED"/>
    <w:rsid w:val="00CB5882"/>
    <w:rsid w:val="00CB7A5C"/>
    <w:rsid w:val="00CB7B07"/>
    <w:rsid w:val="00CD12D7"/>
    <w:rsid w:val="00CD3BCB"/>
    <w:rsid w:val="00CD5457"/>
    <w:rsid w:val="00CD745B"/>
    <w:rsid w:val="00CE32DF"/>
    <w:rsid w:val="00CF2B6A"/>
    <w:rsid w:val="00CF2D2C"/>
    <w:rsid w:val="00CF45B6"/>
    <w:rsid w:val="00D00429"/>
    <w:rsid w:val="00D02421"/>
    <w:rsid w:val="00D07250"/>
    <w:rsid w:val="00D11012"/>
    <w:rsid w:val="00D17793"/>
    <w:rsid w:val="00D20671"/>
    <w:rsid w:val="00D22F36"/>
    <w:rsid w:val="00D268E5"/>
    <w:rsid w:val="00D33451"/>
    <w:rsid w:val="00D40F32"/>
    <w:rsid w:val="00D42D92"/>
    <w:rsid w:val="00D45924"/>
    <w:rsid w:val="00D459E2"/>
    <w:rsid w:val="00D52808"/>
    <w:rsid w:val="00D624AB"/>
    <w:rsid w:val="00D6342C"/>
    <w:rsid w:val="00D63530"/>
    <w:rsid w:val="00D67C57"/>
    <w:rsid w:val="00D87275"/>
    <w:rsid w:val="00D92F2E"/>
    <w:rsid w:val="00D93E8B"/>
    <w:rsid w:val="00D97F3E"/>
    <w:rsid w:val="00DA0D94"/>
    <w:rsid w:val="00DA68BB"/>
    <w:rsid w:val="00DA6961"/>
    <w:rsid w:val="00DA701E"/>
    <w:rsid w:val="00DA70DC"/>
    <w:rsid w:val="00DB6FCE"/>
    <w:rsid w:val="00DC0243"/>
    <w:rsid w:val="00DC3EA4"/>
    <w:rsid w:val="00DC4367"/>
    <w:rsid w:val="00DC6CE7"/>
    <w:rsid w:val="00DD050D"/>
    <w:rsid w:val="00DD21D1"/>
    <w:rsid w:val="00DD78A2"/>
    <w:rsid w:val="00DE04F9"/>
    <w:rsid w:val="00DE51C8"/>
    <w:rsid w:val="00DE6874"/>
    <w:rsid w:val="00DF2BAC"/>
    <w:rsid w:val="00E0192F"/>
    <w:rsid w:val="00E04C54"/>
    <w:rsid w:val="00E12051"/>
    <w:rsid w:val="00E3352C"/>
    <w:rsid w:val="00E341AF"/>
    <w:rsid w:val="00E37FA1"/>
    <w:rsid w:val="00E4067F"/>
    <w:rsid w:val="00E512B4"/>
    <w:rsid w:val="00E51727"/>
    <w:rsid w:val="00E52CEF"/>
    <w:rsid w:val="00E54A31"/>
    <w:rsid w:val="00E67DFA"/>
    <w:rsid w:val="00E70535"/>
    <w:rsid w:val="00E7788F"/>
    <w:rsid w:val="00E81168"/>
    <w:rsid w:val="00E82725"/>
    <w:rsid w:val="00E82B05"/>
    <w:rsid w:val="00E85FBA"/>
    <w:rsid w:val="00E933F6"/>
    <w:rsid w:val="00E93876"/>
    <w:rsid w:val="00E94648"/>
    <w:rsid w:val="00E96FED"/>
    <w:rsid w:val="00E97DAE"/>
    <w:rsid w:val="00EB69EC"/>
    <w:rsid w:val="00EC2338"/>
    <w:rsid w:val="00EC4C3D"/>
    <w:rsid w:val="00ED25BD"/>
    <w:rsid w:val="00ED5C6B"/>
    <w:rsid w:val="00ED6FF3"/>
    <w:rsid w:val="00EE3117"/>
    <w:rsid w:val="00EE57BE"/>
    <w:rsid w:val="00EE5EE2"/>
    <w:rsid w:val="00EF119A"/>
    <w:rsid w:val="00EF7D76"/>
    <w:rsid w:val="00F01A32"/>
    <w:rsid w:val="00F055FA"/>
    <w:rsid w:val="00F118B9"/>
    <w:rsid w:val="00F14CAA"/>
    <w:rsid w:val="00F15578"/>
    <w:rsid w:val="00F20E75"/>
    <w:rsid w:val="00F25F29"/>
    <w:rsid w:val="00F32FEE"/>
    <w:rsid w:val="00F341EC"/>
    <w:rsid w:val="00F34D29"/>
    <w:rsid w:val="00F36C98"/>
    <w:rsid w:val="00F44C4A"/>
    <w:rsid w:val="00F44CB0"/>
    <w:rsid w:val="00F54515"/>
    <w:rsid w:val="00F54689"/>
    <w:rsid w:val="00F616D3"/>
    <w:rsid w:val="00F61C7B"/>
    <w:rsid w:val="00F645C4"/>
    <w:rsid w:val="00F67753"/>
    <w:rsid w:val="00F727AD"/>
    <w:rsid w:val="00F773CB"/>
    <w:rsid w:val="00F80955"/>
    <w:rsid w:val="00F80DB8"/>
    <w:rsid w:val="00F9050B"/>
    <w:rsid w:val="00F908C9"/>
    <w:rsid w:val="00F949F4"/>
    <w:rsid w:val="00F973CF"/>
    <w:rsid w:val="00FA2EA5"/>
    <w:rsid w:val="00FA5AE0"/>
    <w:rsid w:val="00FA6E56"/>
    <w:rsid w:val="00FB5561"/>
    <w:rsid w:val="00FB7127"/>
    <w:rsid w:val="00FC2057"/>
    <w:rsid w:val="00FC2A21"/>
    <w:rsid w:val="00FC3F2F"/>
    <w:rsid w:val="00FC6E20"/>
    <w:rsid w:val="00FC6E29"/>
    <w:rsid w:val="00FD0151"/>
    <w:rsid w:val="00FD3061"/>
    <w:rsid w:val="00FE18ED"/>
    <w:rsid w:val="00FE35E1"/>
    <w:rsid w:val="00FF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79BF515A"/>
  <w15:docId w15:val="{401BB255-D98A-448B-9127-057CFEA3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35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09D"/>
  </w:style>
  <w:style w:type="paragraph" w:styleId="Footer">
    <w:name w:val="footer"/>
    <w:basedOn w:val="Normal"/>
    <w:link w:val="FooterChar"/>
    <w:uiPriority w:val="99"/>
    <w:unhideWhenUsed/>
    <w:rsid w:val="00BF1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09D"/>
  </w:style>
  <w:style w:type="table" w:styleId="TableGrid">
    <w:name w:val="Table Grid"/>
    <w:basedOn w:val="TableNormal"/>
    <w:uiPriority w:val="59"/>
    <w:rsid w:val="00BF1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4D6"/>
    <w:pPr>
      <w:ind w:left="720"/>
      <w:contextualSpacing/>
    </w:pPr>
  </w:style>
  <w:style w:type="paragraph" w:styleId="BalloonText">
    <w:name w:val="Balloon Text"/>
    <w:basedOn w:val="Normal"/>
    <w:link w:val="BalloonTextChar"/>
    <w:uiPriority w:val="99"/>
    <w:semiHidden/>
    <w:unhideWhenUsed/>
    <w:rsid w:val="00D00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429"/>
    <w:rPr>
      <w:rFonts w:ascii="Tahoma" w:hAnsi="Tahoma" w:cs="Tahoma"/>
      <w:sz w:val="16"/>
      <w:szCs w:val="16"/>
    </w:rPr>
  </w:style>
  <w:style w:type="character" w:styleId="CommentReference">
    <w:name w:val="annotation reference"/>
    <w:basedOn w:val="DefaultParagraphFont"/>
    <w:uiPriority w:val="99"/>
    <w:semiHidden/>
    <w:unhideWhenUsed/>
    <w:rsid w:val="00283AF3"/>
    <w:rPr>
      <w:sz w:val="16"/>
      <w:szCs w:val="16"/>
    </w:rPr>
  </w:style>
  <w:style w:type="paragraph" w:styleId="CommentText">
    <w:name w:val="annotation text"/>
    <w:basedOn w:val="Normal"/>
    <w:link w:val="CommentTextChar"/>
    <w:uiPriority w:val="99"/>
    <w:unhideWhenUsed/>
    <w:rsid w:val="00283AF3"/>
    <w:pPr>
      <w:spacing w:line="240" w:lineRule="auto"/>
    </w:pPr>
    <w:rPr>
      <w:sz w:val="20"/>
      <w:szCs w:val="20"/>
    </w:rPr>
  </w:style>
  <w:style w:type="character" w:customStyle="1" w:styleId="CommentTextChar">
    <w:name w:val="Comment Text Char"/>
    <w:basedOn w:val="DefaultParagraphFont"/>
    <w:link w:val="CommentText"/>
    <w:uiPriority w:val="99"/>
    <w:rsid w:val="00283AF3"/>
    <w:rPr>
      <w:sz w:val="20"/>
      <w:szCs w:val="20"/>
    </w:rPr>
  </w:style>
  <w:style w:type="paragraph" w:styleId="CommentSubject">
    <w:name w:val="annotation subject"/>
    <w:basedOn w:val="CommentText"/>
    <w:next w:val="CommentText"/>
    <w:link w:val="CommentSubjectChar"/>
    <w:uiPriority w:val="99"/>
    <w:semiHidden/>
    <w:unhideWhenUsed/>
    <w:rsid w:val="00283AF3"/>
    <w:rPr>
      <w:b/>
      <w:bCs/>
    </w:rPr>
  </w:style>
  <w:style w:type="character" w:customStyle="1" w:styleId="CommentSubjectChar">
    <w:name w:val="Comment Subject Char"/>
    <w:basedOn w:val="CommentTextChar"/>
    <w:link w:val="CommentSubject"/>
    <w:uiPriority w:val="99"/>
    <w:semiHidden/>
    <w:rsid w:val="00283AF3"/>
    <w:rPr>
      <w:b/>
      <w:bCs/>
      <w:sz w:val="20"/>
      <w:szCs w:val="20"/>
    </w:rPr>
  </w:style>
  <w:style w:type="paragraph" w:customStyle="1" w:styleId="Default">
    <w:name w:val="Default"/>
    <w:rsid w:val="00D6342C"/>
    <w:pPr>
      <w:autoSpaceDE w:val="0"/>
      <w:autoSpaceDN w:val="0"/>
      <w:adjustRightInd w:val="0"/>
      <w:spacing w:after="0" w:line="240" w:lineRule="auto"/>
    </w:pPr>
    <w:rPr>
      <w:rFonts w:ascii="Arial" w:hAnsi="Arial" w:cs="Arial"/>
      <w:color w:val="000000"/>
      <w:sz w:val="24"/>
      <w:szCs w:val="24"/>
    </w:rPr>
  </w:style>
  <w:style w:type="paragraph" w:customStyle="1" w:styleId="-bullets">
    <w:name w:val="- bullets"/>
    <w:basedOn w:val="Normal"/>
    <w:next w:val="Normal"/>
    <w:link w:val="-bulletsChar"/>
    <w:qFormat/>
    <w:rsid w:val="00F15578"/>
    <w:pPr>
      <w:widowControl w:val="0"/>
      <w:numPr>
        <w:numId w:val="12"/>
      </w:numPr>
      <w:spacing w:after="120"/>
      <w:jc w:val="both"/>
    </w:pPr>
    <w:rPr>
      <w:rFonts w:ascii="Arial" w:hAnsi="Arial" w:cs="Arial"/>
      <w:color w:val="000000" w:themeColor="text1"/>
      <w:sz w:val="28"/>
      <w:szCs w:val="20"/>
    </w:rPr>
  </w:style>
  <w:style w:type="character" w:customStyle="1" w:styleId="-bulletsChar">
    <w:name w:val="- bullets Char"/>
    <w:basedOn w:val="DefaultParagraphFont"/>
    <w:link w:val="-bullets"/>
    <w:rsid w:val="00F15578"/>
    <w:rPr>
      <w:rFonts w:ascii="Arial" w:hAnsi="Arial" w:cs="Arial"/>
      <w:color w:val="000000" w:themeColor="text1"/>
      <w:sz w:val="28"/>
      <w:szCs w:val="20"/>
    </w:rPr>
  </w:style>
  <w:style w:type="table" w:customStyle="1" w:styleId="TableGrid1">
    <w:name w:val="Table Grid1"/>
    <w:basedOn w:val="TableNormal"/>
    <w:next w:val="TableGrid"/>
    <w:uiPriority w:val="59"/>
    <w:rsid w:val="00DD7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5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95199F"/>
    <w:rPr>
      <w:b/>
    </w:rPr>
  </w:style>
  <w:style w:type="character" w:styleId="PlaceholderText">
    <w:name w:val="Placeholder Text"/>
    <w:basedOn w:val="DefaultParagraphFont"/>
    <w:uiPriority w:val="99"/>
    <w:semiHidden/>
    <w:rsid w:val="0095199F"/>
    <w:rPr>
      <w:color w:val="808080"/>
    </w:rPr>
  </w:style>
  <w:style w:type="character" w:customStyle="1" w:styleId="Heading1Char">
    <w:name w:val="Heading 1 Char"/>
    <w:basedOn w:val="DefaultParagraphFont"/>
    <w:link w:val="Heading1"/>
    <w:uiPriority w:val="9"/>
    <w:rsid w:val="00353542"/>
    <w:rPr>
      <w:rFonts w:asciiTheme="majorHAnsi" w:eastAsiaTheme="majorEastAsia" w:hAnsiTheme="majorHAnsi" w:cstheme="majorBidi"/>
      <w:color w:val="365F91" w:themeColor="accent1" w:themeShade="BF"/>
      <w:sz w:val="32"/>
      <w:szCs w:val="32"/>
    </w:rPr>
  </w:style>
  <w:style w:type="character" w:styleId="Hyperlink">
    <w:name w:val="Hyperlink"/>
    <w:uiPriority w:val="99"/>
    <w:unhideWhenUsed/>
    <w:rsid w:val="001B09E8"/>
    <w:rPr>
      <w:color w:val="0000FF"/>
      <w:u w:val="single"/>
    </w:rPr>
  </w:style>
  <w:style w:type="paragraph" w:styleId="Revision">
    <w:name w:val="Revision"/>
    <w:hidden/>
    <w:uiPriority w:val="99"/>
    <w:semiHidden/>
    <w:rsid w:val="00A17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0577">
      <w:bodyDiv w:val="1"/>
      <w:marLeft w:val="0"/>
      <w:marRight w:val="0"/>
      <w:marTop w:val="0"/>
      <w:marBottom w:val="0"/>
      <w:divBdr>
        <w:top w:val="none" w:sz="0" w:space="0" w:color="auto"/>
        <w:left w:val="none" w:sz="0" w:space="0" w:color="auto"/>
        <w:bottom w:val="none" w:sz="0" w:space="0" w:color="auto"/>
        <w:right w:val="none" w:sz="0" w:space="0" w:color="auto"/>
      </w:divBdr>
    </w:div>
    <w:div w:id="239826965">
      <w:bodyDiv w:val="1"/>
      <w:marLeft w:val="0"/>
      <w:marRight w:val="0"/>
      <w:marTop w:val="0"/>
      <w:marBottom w:val="0"/>
      <w:divBdr>
        <w:top w:val="none" w:sz="0" w:space="0" w:color="auto"/>
        <w:left w:val="none" w:sz="0" w:space="0" w:color="auto"/>
        <w:bottom w:val="none" w:sz="0" w:space="0" w:color="auto"/>
        <w:right w:val="none" w:sz="0" w:space="0" w:color="auto"/>
      </w:divBdr>
    </w:div>
    <w:div w:id="536741002">
      <w:bodyDiv w:val="1"/>
      <w:marLeft w:val="0"/>
      <w:marRight w:val="0"/>
      <w:marTop w:val="0"/>
      <w:marBottom w:val="0"/>
      <w:divBdr>
        <w:top w:val="none" w:sz="0" w:space="0" w:color="auto"/>
        <w:left w:val="none" w:sz="0" w:space="0" w:color="auto"/>
        <w:bottom w:val="none" w:sz="0" w:space="0" w:color="auto"/>
        <w:right w:val="none" w:sz="0" w:space="0" w:color="auto"/>
      </w:divBdr>
    </w:div>
    <w:div w:id="570311284">
      <w:bodyDiv w:val="1"/>
      <w:marLeft w:val="0"/>
      <w:marRight w:val="0"/>
      <w:marTop w:val="0"/>
      <w:marBottom w:val="0"/>
      <w:divBdr>
        <w:top w:val="none" w:sz="0" w:space="0" w:color="auto"/>
        <w:left w:val="none" w:sz="0" w:space="0" w:color="auto"/>
        <w:bottom w:val="none" w:sz="0" w:space="0" w:color="auto"/>
        <w:right w:val="none" w:sz="0" w:space="0" w:color="auto"/>
      </w:divBdr>
    </w:div>
    <w:div w:id="907499527">
      <w:bodyDiv w:val="1"/>
      <w:marLeft w:val="0"/>
      <w:marRight w:val="0"/>
      <w:marTop w:val="0"/>
      <w:marBottom w:val="0"/>
      <w:divBdr>
        <w:top w:val="none" w:sz="0" w:space="0" w:color="auto"/>
        <w:left w:val="none" w:sz="0" w:space="0" w:color="auto"/>
        <w:bottom w:val="none" w:sz="0" w:space="0" w:color="auto"/>
        <w:right w:val="none" w:sz="0" w:space="0" w:color="auto"/>
      </w:divBdr>
    </w:div>
    <w:div w:id="914313777">
      <w:bodyDiv w:val="1"/>
      <w:marLeft w:val="0"/>
      <w:marRight w:val="0"/>
      <w:marTop w:val="0"/>
      <w:marBottom w:val="0"/>
      <w:divBdr>
        <w:top w:val="none" w:sz="0" w:space="0" w:color="auto"/>
        <w:left w:val="none" w:sz="0" w:space="0" w:color="auto"/>
        <w:bottom w:val="none" w:sz="0" w:space="0" w:color="auto"/>
        <w:right w:val="none" w:sz="0" w:space="0" w:color="auto"/>
      </w:divBdr>
    </w:div>
    <w:div w:id="1075933640">
      <w:bodyDiv w:val="1"/>
      <w:marLeft w:val="0"/>
      <w:marRight w:val="0"/>
      <w:marTop w:val="0"/>
      <w:marBottom w:val="0"/>
      <w:divBdr>
        <w:top w:val="none" w:sz="0" w:space="0" w:color="auto"/>
        <w:left w:val="none" w:sz="0" w:space="0" w:color="auto"/>
        <w:bottom w:val="none" w:sz="0" w:space="0" w:color="auto"/>
        <w:right w:val="none" w:sz="0" w:space="0" w:color="auto"/>
      </w:divBdr>
    </w:div>
    <w:div w:id="1113088491">
      <w:bodyDiv w:val="1"/>
      <w:marLeft w:val="0"/>
      <w:marRight w:val="0"/>
      <w:marTop w:val="0"/>
      <w:marBottom w:val="0"/>
      <w:divBdr>
        <w:top w:val="none" w:sz="0" w:space="0" w:color="auto"/>
        <w:left w:val="none" w:sz="0" w:space="0" w:color="auto"/>
        <w:bottom w:val="none" w:sz="0" w:space="0" w:color="auto"/>
        <w:right w:val="none" w:sz="0" w:space="0" w:color="auto"/>
      </w:divBdr>
    </w:div>
    <w:div w:id="1189568525">
      <w:bodyDiv w:val="1"/>
      <w:marLeft w:val="0"/>
      <w:marRight w:val="0"/>
      <w:marTop w:val="0"/>
      <w:marBottom w:val="0"/>
      <w:divBdr>
        <w:top w:val="none" w:sz="0" w:space="0" w:color="auto"/>
        <w:left w:val="none" w:sz="0" w:space="0" w:color="auto"/>
        <w:bottom w:val="none" w:sz="0" w:space="0" w:color="auto"/>
        <w:right w:val="none" w:sz="0" w:space="0" w:color="auto"/>
      </w:divBdr>
    </w:div>
    <w:div w:id="1275358477">
      <w:bodyDiv w:val="1"/>
      <w:marLeft w:val="0"/>
      <w:marRight w:val="0"/>
      <w:marTop w:val="0"/>
      <w:marBottom w:val="0"/>
      <w:divBdr>
        <w:top w:val="none" w:sz="0" w:space="0" w:color="auto"/>
        <w:left w:val="none" w:sz="0" w:space="0" w:color="auto"/>
        <w:bottom w:val="none" w:sz="0" w:space="0" w:color="auto"/>
        <w:right w:val="none" w:sz="0" w:space="0" w:color="auto"/>
      </w:divBdr>
    </w:div>
    <w:div w:id="1354110859">
      <w:bodyDiv w:val="1"/>
      <w:marLeft w:val="0"/>
      <w:marRight w:val="0"/>
      <w:marTop w:val="0"/>
      <w:marBottom w:val="0"/>
      <w:divBdr>
        <w:top w:val="none" w:sz="0" w:space="0" w:color="auto"/>
        <w:left w:val="none" w:sz="0" w:space="0" w:color="auto"/>
        <w:bottom w:val="none" w:sz="0" w:space="0" w:color="auto"/>
        <w:right w:val="none" w:sz="0" w:space="0" w:color="auto"/>
      </w:divBdr>
    </w:div>
    <w:div w:id="1364398435">
      <w:bodyDiv w:val="1"/>
      <w:marLeft w:val="0"/>
      <w:marRight w:val="0"/>
      <w:marTop w:val="0"/>
      <w:marBottom w:val="0"/>
      <w:divBdr>
        <w:top w:val="none" w:sz="0" w:space="0" w:color="auto"/>
        <w:left w:val="none" w:sz="0" w:space="0" w:color="auto"/>
        <w:bottom w:val="none" w:sz="0" w:space="0" w:color="auto"/>
        <w:right w:val="none" w:sz="0" w:space="0" w:color="auto"/>
      </w:divBdr>
    </w:div>
    <w:div w:id="151391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6AEA10563F984780DF886C74579EEF" ma:contentTypeVersion="13" ma:contentTypeDescription="Create a new document." ma:contentTypeScope="" ma:versionID="41f6bafb640cd5747eb735d05922dda1">
  <xsd:schema xmlns:xsd="http://www.w3.org/2001/XMLSchema" xmlns:xs="http://www.w3.org/2001/XMLSchema" xmlns:p="http://schemas.microsoft.com/office/2006/metadata/properties" xmlns:ns2="76ce6daf-1946-43d2-bde0-017f0d928c3c" xmlns:ns3="ec763d0b-e8a5-43af-af0a-3840cbcea031" targetNamespace="http://schemas.microsoft.com/office/2006/metadata/properties" ma:root="true" ma:fieldsID="9c1f18d54e68a0503f0b863258e39d3b" ns2:_="" ns3:_="">
    <xsd:import namespace="76ce6daf-1946-43d2-bde0-017f0d928c3c"/>
    <xsd:import namespace="ec763d0b-e8a5-43af-af0a-3840cbcea0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e6daf-1946-43d2-bde0-017f0d928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763d0b-e8a5-43af-af0a-3840cbcea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0E760-C96D-4BAB-BDBA-EC8C5F2BCDF8}">
  <ds:schemaRefs>
    <ds:schemaRef ds:uri="http://schemas.openxmlformats.org/officeDocument/2006/bibliography"/>
  </ds:schemaRefs>
</ds:datastoreItem>
</file>

<file path=customXml/itemProps2.xml><?xml version="1.0" encoding="utf-8"?>
<ds:datastoreItem xmlns:ds="http://schemas.openxmlformats.org/officeDocument/2006/customXml" ds:itemID="{B4AB7234-8AF2-4E6D-83CB-BC06E005B8DA}"/>
</file>

<file path=customXml/itemProps3.xml><?xml version="1.0" encoding="utf-8"?>
<ds:datastoreItem xmlns:ds="http://schemas.openxmlformats.org/officeDocument/2006/customXml" ds:itemID="{ADCF1E66-BC20-44F0-8160-16C224AE8F32}"/>
</file>

<file path=customXml/itemProps4.xml><?xml version="1.0" encoding="utf-8"?>
<ds:datastoreItem xmlns:ds="http://schemas.openxmlformats.org/officeDocument/2006/customXml" ds:itemID="{75EE36AA-C96E-44A2-B4C9-74C2118061C4}"/>
</file>

<file path=docProps/app.xml><?xml version="1.0" encoding="utf-8"?>
<Properties xmlns="http://schemas.openxmlformats.org/officeDocument/2006/extended-properties" xmlns:vt="http://schemas.openxmlformats.org/officeDocument/2006/docPropsVTypes">
  <Template>Normal</Template>
  <TotalTime>20</TotalTime>
  <Pages>17</Pages>
  <Words>5199</Words>
  <Characters>29637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Bolton At Home</Company>
  <LinksUpToDate>false</LinksUpToDate>
  <CharactersWithSpaces>34767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Tracey</dc:creator>
  <cp:keywords/>
  <dc:description/>
  <cp:lastModifiedBy>Bailey, Tracey</cp:lastModifiedBy>
  <cp:revision>4</cp:revision>
  <cp:lastPrinted>2019-06-25T12:50:00Z</cp:lastPrinted>
  <dcterms:created xsi:type="dcterms:W3CDTF">2022-03-24T13:02:00Z</dcterms:created>
  <dcterms:modified xsi:type="dcterms:W3CDTF">2022-05-03T12:42:00Z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vt:lpwstr>
  </property>
  <property fmtid="{D5CDD505-2E9C-101B-9397-08002B2CF9AE}" pid="3" name="ContentTypeId">
    <vt:lpwstr>0x010100E26AEA10563F984780DF886C74579EEF</vt:lpwstr>
  </property>
</Properties>
</file>